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EDA9A" w14:textId="1A3CB473" w:rsidR="00084694" w:rsidRDefault="00084694" w:rsidP="00084694">
      <w:pPr>
        <w:pStyle w:val="Header"/>
        <w:rPr>
          <w:sz w:val="24"/>
          <w:szCs w:val="24"/>
        </w:rPr>
      </w:pPr>
      <w:bookmarkStart w:id="0" w:name="_Hlk519580081"/>
      <w:bookmarkStart w:id="1" w:name="_Hlk527628066"/>
      <w:r>
        <w:rPr>
          <w:sz w:val="24"/>
          <w:szCs w:val="24"/>
        </w:rPr>
        <w:t xml:space="preserve">3GPP TSG-RAN WG3 #118 </w:t>
      </w: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R3-22</w:t>
      </w:r>
      <w:r w:rsidR="00B143D1">
        <w:rPr>
          <w:sz w:val="24"/>
          <w:szCs w:val="24"/>
        </w:rPr>
        <w:t>6311</w:t>
      </w:r>
      <w:r>
        <w:rPr>
          <w:sz w:val="24"/>
          <w:szCs w:val="24"/>
        </w:rPr>
        <w:t xml:space="preserve">                                                </w:t>
      </w:r>
    </w:p>
    <w:p w14:paraId="2955446D" w14:textId="77777777" w:rsidR="00084694" w:rsidRDefault="00084694" w:rsidP="00084694">
      <w:pPr>
        <w:pStyle w:val="Header"/>
        <w:rPr>
          <w:sz w:val="24"/>
          <w:szCs w:val="24"/>
        </w:rPr>
      </w:pPr>
      <w:r>
        <w:rPr>
          <w:sz w:val="24"/>
          <w:szCs w:val="24"/>
        </w:rPr>
        <w:t>14th – 18th Nov 2022</w:t>
      </w:r>
    </w:p>
    <w:p w14:paraId="472ED473" w14:textId="77777777" w:rsidR="00084694" w:rsidRDefault="00084694" w:rsidP="00084694">
      <w:pPr>
        <w:pStyle w:val="Header"/>
        <w:rPr>
          <w:sz w:val="24"/>
          <w:szCs w:val="24"/>
        </w:rPr>
      </w:pPr>
      <w:r>
        <w:rPr>
          <w:sz w:val="24"/>
          <w:szCs w:val="24"/>
        </w:rPr>
        <w:t>Toulouse, France</w:t>
      </w:r>
    </w:p>
    <w:bookmarkEnd w:id="0"/>
    <w:p w14:paraId="6A992B39" w14:textId="77777777" w:rsidR="00084694" w:rsidRPr="00B266B0" w:rsidRDefault="00084694" w:rsidP="00084694">
      <w:pPr>
        <w:pStyle w:val="Header"/>
        <w:rPr>
          <w:bCs w:val="0"/>
          <w:noProof w:val="0"/>
          <w:sz w:val="24"/>
        </w:rPr>
      </w:pPr>
    </w:p>
    <w:p w14:paraId="332AEB71" w14:textId="14BF178C" w:rsidR="00952130" w:rsidRPr="00B266B0" w:rsidRDefault="00952130" w:rsidP="00952130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65F39">
        <w:rPr>
          <w:rFonts w:cs="Arial"/>
          <w:b/>
          <w:bCs/>
          <w:sz w:val="24"/>
          <w:lang w:eastAsia="ja-JP"/>
        </w:rPr>
        <w:t>13.</w:t>
      </w:r>
      <w:r w:rsidR="00F718DC">
        <w:rPr>
          <w:rFonts w:cs="Arial"/>
          <w:b/>
          <w:bCs/>
          <w:sz w:val="24"/>
          <w:lang w:eastAsia="ja-JP"/>
        </w:rPr>
        <w:t>3</w:t>
      </w:r>
    </w:p>
    <w:p w14:paraId="10972366" w14:textId="09C2E3F0" w:rsidR="00952130" w:rsidRPr="00B266B0" w:rsidRDefault="00952130" w:rsidP="00952130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Source:</w:t>
      </w:r>
      <w:r w:rsidRPr="00B266B0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Nokia, Nokia Shanghai Bell</w:t>
      </w:r>
    </w:p>
    <w:p w14:paraId="1135AF43" w14:textId="533992C7" w:rsidR="00952130" w:rsidRDefault="00952130" w:rsidP="00952130">
      <w:pPr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Title:</w:t>
      </w:r>
      <w:r w:rsidRPr="00B266B0">
        <w:rPr>
          <w:rFonts w:cs="Arial"/>
          <w:b/>
          <w:bCs/>
          <w:sz w:val="24"/>
        </w:rPr>
        <w:tab/>
      </w:r>
      <w:r w:rsidR="00CE71B4">
        <w:rPr>
          <w:rFonts w:cs="Arial"/>
          <w:b/>
          <w:bCs/>
          <w:sz w:val="24"/>
        </w:rPr>
        <w:t xml:space="preserve">Discussion on </w:t>
      </w:r>
      <w:r w:rsidR="00F718DC">
        <w:rPr>
          <w:rFonts w:cs="Arial"/>
          <w:b/>
          <w:bCs/>
          <w:sz w:val="24"/>
        </w:rPr>
        <w:t>mobility enhancements</w:t>
      </w:r>
    </w:p>
    <w:p w14:paraId="0B5456E4" w14:textId="77777777" w:rsidR="00952130" w:rsidRPr="00B266B0" w:rsidRDefault="00952130" w:rsidP="00952130">
      <w:pPr>
        <w:tabs>
          <w:tab w:val="left" w:pos="1985"/>
        </w:tabs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Document for:</w:t>
      </w:r>
      <w:r w:rsidRPr="00B266B0">
        <w:rPr>
          <w:rFonts w:cs="Arial"/>
          <w:b/>
          <w:bCs/>
          <w:sz w:val="24"/>
        </w:rPr>
        <w:tab/>
        <w:t>Discussion and Decision</w:t>
      </w:r>
    </w:p>
    <w:p w14:paraId="0BB0C2AA" w14:textId="77777777" w:rsidR="00657AE9" w:rsidRDefault="00657AE9" w:rsidP="00B64D7A">
      <w:pPr>
        <w:overflowPunct/>
        <w:autoSpaceDE/>
        <w:autoSpaceDN/>
        <w:adjustRightInd/>
        <w:spacing w:after="60"/>
        <w:jc w:val="left"/>
        <w:textAlignment w:val="auto"/>
      </w:pPr>
    </w:p>
    <w:p w14:paraId="0DDB1804" w14:textId="77777777" w:rsidR="00657AE9" w:rsidRDefault="00657AE9" w:rsidP="00B64D7A">
      <w:pPr>
        <w:overflowPunct/>
        <w:autoSpaceDE/>
        <w:autoSpaceDN/>
        <w:adjustRightInd/>
        <w:spacing w:after="60"/>
        <w:jc w:val="left"/>
        <w:textAlignment w:val="auto"/>
      </w:pPr>
    </w:p>
    <w:p w14:paraId="05E4427C" w14:textId="1A5230E1" w:rsidR="00952130" w:rsidRDefault="009443C0" w:rsidP="00952130">
      <w:pPr>
        <w:pStyle w:val="Heading1"/>
      </w:pPr>
      <w:r>
        <w:t>Introduction</w:t>
      </w:r>
    </w:p>
    <w:bookmarkEnd w:id="1"/>
    <w:p w14:paraId="23AF1DA7" w14:textId="3548A806" w:rsidR="00E86720" w:rsidRDefault="006C3E34" w:rsidP="009443C0">
      <w:pPr>
        <w:spacing w:after="180"/>
        <w:jc w:val="left"/>
      </w:pPr>
      <w:r>
        <w:t>This contribution discusses the</w:t>
      </w:r>
      <w:r w:rsidR="007A2B07">
        <w:t xml:space="preserve"> </w:t>
      </w:r>
      <w:r w:rsidR="00F718DC">
        <w:t>mobility enhancements</w:t>
      </w:r>
      <w:r w:rsidR="00DD301A">
        <w:t>, as described in the WID</w:t>
      </w:r>
      <w:r w:rsidR="005139E8">
        <w:t xml:space="preserve"> (</w:t>
      </w:r>
      <w:r w:rsidR="00500A09">
        <w:fldChar w:fldCharType="begin"/>
      </w:r>
      <w:r w:rsidR="00500A09">
        <w:instrText xml:space="preserve"> REF _Ref110843185 \r \h </w:instrText>
      </w:r>
      <w:r w:rsidR="00500A09">
        <w:fldChar w:fldCharType="separate"/>
      </w:r>
      <w:r w:rsidR="0012333A">
        <w:t>[1]</w:t>
      </w:r>
      <w:r w:rsidR="00500A09">
        <w:fldChar w:fldCharType="end"/>
      </w:r>
      <w:r w:rsidR="005139E8">
        <w:t>)</w:t>
      </w:r>
      <w:r w:rsidR="00C67941">
        <w:t xml:space="preserve">. </w:t>
      </w:r>
    </w:p>
    <w:p w14:paraId="1F7C816C" w14:textId="77777777" w:rsidR="00DD301A" w:rsidRPr="0067702C" w:rsidRDefault="00DD301A" w:rsidP="00DD301A">
      <w:pPr>
        <w:pStyle w:val="maintext"/>
        <w:numPr>
          <w:ilvl w:val="0"/>
          <w:numId w:val="27"/>
        </w:numPr>
        <w:spacing w:line="240" w:lineRule="auto"/>
        <w:ind w:firstLineChars="0"/>
        <w:rPr>
          <w:rFonts w:eastAsia="Times New Roman" w:cs="Times New Roman"/>
          <w:lang w:eastAsia="en-US"/>
        </w:rPr>
      </w:pPr>
      <w:r w:rsidRPr="0067702C">
        <w:rPr>
          <w:rFonts w:eastAsia="Times New Roman" w:cs="Times New Roman"/>
          <w:lang w:eastAsia="en-US"/>
        </w:rPr>
        <w:t>Enhancements for mobility of an IAB-node together with its served UEs</w:t>
      </w:r>
      <w:r>
        <w:rPr>
          <w:rFonts w:eastAsia="Times New Roman" w:cs="Times New Roman"/>
          <w:lang w:eastAsia="en-US"/>
        </w:rPr>
        <w:t>, including aspects related to group mobility</w:t>
      </w:r>
      <w:r w:rsidRPr="0067702C">
        <w:rPr>
          <w:rFonts w:eastAsia="Times New Roman" w:cs="Times New Roman"/>
          <w:lang w:eastAsia="en-US"/>
        </w:rPr>
        <w:t xml:space="preserve">. </w:t>
      </w:r>
      <w:r>
        <w:rPr>
          <w:rFonts w:eastAsia="Times New Roman" w:cs="Times New Roman"/>
          <w:lang w:eastAsia="en-US"/>
        </w:rPr>
        <w:t xml:space="preserve">No optimizations for the targeting of surrounding UEs. </w:t>
      </w:r>
      <w:r w:rsidRPr="0067702C">
        <w:rPr>
          <w:rFonts w:eastAsia="Times New Roman" w:cs="Times New Roman"/>
          <w:lang w:eastAsia="en-US"/>
        </w:rPr>
        <w:t>[RAN3, RAN2]</w:t>
      </w:r>
    </w:p>
    <w:p w14:paraId="067DDAD7" w14:textId="77777777" w:rsidR="00DD301A" w:rsidRPr="00E71429" w:rsidRDefault="00DD301A" w:rsidP="00DD301A">
      <w:pPr>
        <w:pStyle w:val="maintext"/>
        <w:spacing w:line="240" w:lineRule="auto"/>
        <w:ind w:left="720" w:firstLineChars="0" w:firstLine="0"/>
        <w:rPr>
          <w:rFonts w:eastAsia="Times New Roman" w:cs="Times New Roman"/>
          <w:i/>
          <w:iCs/>
          <w:lang w:eastAsia="en-US"/>
        </w:rPr>
      </w:pPr>
      <w:r w:rsidRPr="00E71429">
        <w:rPr>
          <w:rFonts w:eastAsia="Times New Roman" w:cs="Times New Roman"/>
          <w:i/>
          <w:iCs/>
          <w:lang w:eastAsia="en-US"/>
        </w:rPr>
        <w:t xml:space="preserve">Note: Solutions should avoid </w:t>
      </w:r>
      <w:r>
        <w:rPr>
          <w:rFonts w:eastAsia="Times New Roman" w:cs="Times New Roman"/>
          <w:i/>
          <w:iCs/>
          <w:lang w:eastAsia="en-US"/>
        </w:rPr>
        <w:t>touching</w:t>
      </w:r>
      <w:r w:rsidRPr="00E71429">
        <w:rPr>
          <w:rFonts w:eastAsia="Times New Roman" w:cs="Times New Roman"/>
          <w:i/>
          <w:iCs/>
          <w:lang w:eastAsia="en-US"/>
        </w:rPr>
        <w:t xml:space="preserve"> upon topics where Rel</w:t>
      </w:r>
      <w:r>
        <w:rPr>
          <w:rFonts w:eastAsia="Times New Roman" w:cs="Times New Roman"/>
          <w:i/>
          <w:iCs/>
          <w:lang w:eastAsia="en-US"/>
        </w:rPr>
        <w:t>-</w:t>
      </w:r>
      <w:r w:rsidRPr="00E71429">
        <w:rPr>
          <w:rFonts w:eastAsia="Times New Roman" w:cs="Times New Roman"/>
          <w:i/>
          <w:iCs/>
          <w:lang w:eastAsia="en-US"/>
        </w:rPr>
        <w:t>17 discussions already occurred and</w:t>
      </w:r>
      <w:r>
        <w:rPr>
          <w:rFonts w:eastAsia="Times New Roman" w:cs="Times New Roman"/>
          <w:i/>
          <w:iCs/>
          <w:lang w:eastAsia="en-US"/>
        </w:rPr>
        <w:t xml:space="preserve"> </w:t>
      </w:r>
      <w:r w:rsidRPr="00E71429">
        <w:rPr>
          <w:rFonts w:eastAsia="Times New Roman" w:cs="Times New Roman"/>
          <w:i/>
          <w:iCs/>
          <w:lang w:eastAsia="en-US"/>
        </w:rPr>
        <w:t>where the topic was excluded from Rel</w:t>
      </w:r>
      <w:r>
        <w:rPr>
          <w:rFonts w:eastAsia="Times New Roman" w:cs="Times New Roman"/>
          <w:i/>
          <w:iCs/>
          <w:lang w:eastAsia="en-US"/>
        </w:rPr>
        <w:t>-</w:t>
      </w:r>
      <w:r w:rsidRPr="00E71429">
        <w:rPr>
          <w:rFonts w:eastAsia="Times New Roman" w:cs="Times New Roman"/>
          <w:i/>
          <w:iCs/>
          <w:lang w:eastAsia="en-US"/>
        </w:rPr>
        <w:t>17</w:t>
      </w:r>
      <w:r>
        <w:rPr>
          <w:rFonts w:eastAsia="Times New Roman" w:cs="Times New Roman"/>
          <w:i/>
          <w:iCs/>
          <w:lang w:eastAsia="en-US"/>
        </w:rPr>
        <w:t>, except for enhancements that are specific to IAB-node mobility</w:t>
      </w:r>
      <w:r w:rsidRPr="00E71429">
        <w:rPr>
          <w:rFonts w:eastAsia="Times New Roman" w:cs="Times New Roman"/>
          <w:i/>
          <w:iCs/>
          <w:lang w:eastAsia="en-US"/>
        </w:rPr>
        <w:t>.</w:t>
      </w:r>
    </w:p>
    <w:p w14:paraId="3E5215A7" w14:textId="22EC69E1" w:rsidR="009443C0" w:rsidRDefault="009443C0">
      <w:pPr>
        <w:overflowPunct/>
        <w:autoSpaceDE/>
        <w:autoSpaceDN/>
        <w:adjustRightInd/>
        <w:spacing w:after="0"/>
        <w:jc w:val="left"/>
        <w:textAlignment w:val="auto"/>
      </w:pPr>
    </w:p>
    <w:p w14:paraId="62A6A771" w14:textId="3668E3A5" w:rsidR="00E72630" w:rsidRDefault="00E72630">
      <w:pPr>
        <w:overflowPunct/>
        <w:autoSpaceDE/>
        <w:autoSpaceDN/>
        <w:adjustRightInd/>
        <w:spacing w:after="0"/>
        <w:jc w:val="left"/>
        <w:textAlignment w:val="auto"/>
      </w:pPr>
      <w:r>
        <w:t xml:space="preserve">Last meeting agreed </w:t>
      </w:r>
    </w:p>
    <w:p w14:paraId="7364B588" w14:textId="77777777" w:rsidR="00CA3E9B" w:rsidRPr="00C8122E" w:rsidRDefault="00CA3E9B" w:rsidP="007F32B2">
      <w:pPr>
        <w:widowControl w:val="0"/>
        <w:ind w:left="288" w:hanging="144"/>
        <w:rPr>
          <w:rFonts w:ascii="Calibri" w:hAnsi="Calibri" w:cs="Calibri"/>
          <w:b/>
          <w:color w:val="008000"/>
          <w:sz w:val="18"/>
          <w:szCs w:val="18"/>
        </w:rPr>
      </w:pPr>
      <w:r w:rsidRPr="00C8122E">
        <w:rPr>
          <w:rFonts w:ascii="Calibri" w:hAnsi="Calibri" w:cs="Calibri"/>
          <w:b/>
          <w:color w:val="008000"/>
          <w:sz w:val="18"/>
          <w:szCs w:val="18"/>
        </w:rPr>
        <w:t>RAN3 to discuss whether and which information can be shared between two logical DUs in case of IAB-DU migration.</w:t>
      </w:r>
    </w:p>
    <w:p w14:paraId="79951AAA" w14:textId="77777777" w:rsidR="00CA3E9B" w:rsidRPr="00C8122E" w:rsidRDefault="00CA3E9B" w:rsidP="007F32B2">
      <w:pPr>
        <w:widowControl w:val="0"/>
        <w:ind w:left="288" w:hanging="144"/>
        <w:rPr>
          <w:rFonts w:ascii="Calibri" w:hAnsi="Calibri" w:cs="Calibri"/>
          <w:b/>
          <w:color w:val="008000"/>
          <w:sz w:val="18"/>
          <w:szCs w:val="18"/>
        </w:rPr>
      </w:pPr>
      <w:r w:rsidRPr="00C8122E">
        <w:rPr>
          <w:rFonts w:ascii="Calibri" w:hAnsi="Calibri" w:cs="Calibri"/>
          <w:b/>
          <w:color w:val="008000"/>
          <w:sz w:val="18"/>
          <w:szCs w:val="18"/>
        </w:rPr>
        <w:t>RAN3 to discuss which of the OAM-configured and network-configured parameters may be pre-configured at a mobile IAB-node, after a baseline procedure for IAB-DU migration is developed.</w:t>
      </w:r>
    </w:p>
    <w:p w14:paraId="7AFF0F66" w14:textId="77777777" w:rsidR="00CA3E9B" w:rsidRPr="00C8122E" w:rsidRDefault="00CA3E9B" w:rsidP="007F32B2">
      <w:pPr>
        <w:widowControl w:val="0"/>
        <w:ind w:left="288" w:hanging="144"/>
        <w:rPr>
          <w:rFonts w:ascii="Calibri" w:hAnsi="Calibri" w:cs="Calibri"/>
          <w:b/>
          <w:color w:val="008000"/>
          <w:sz w:val="18"/>
          <w:szCs w:val="18"/>
        </w:rPr>
      </w:pPr>
      <w:r w:rsidRPr="00C8122E">
        <w:rPr>
          <w:rFonts w:ascii="Calibri" w:hAnsi="Calibri" w:cs="Calibri"/>
          <w:b/>
          <w:color w:val="008000"/>
          <w:sz w:val="18"/>
          <w:szCs w:val="18"/>
        </w:rPr>
        <w:t>Source donor CU of mobile IAB-MT informs the target donor CU of mobile IAB-MT that the migrating node is a mobile IAB-node, via explicit indication in XnAP HO Request message.</w:t>
      </w:r>
    </w:p>
    <w:p w14:paraId="55F26F0A" w14:textId="77777777" w:rsidR="00CA3E9B" w:rsidRPr="00C8122E" w:rsidRDefault="00CA3E9B" w:rsidP="007F32B2">
      <w:pPr>
        <w:widowControl w:val="0"/>
        <w:ind w:left="288" w:hanging="144"/>
        <w:rPr>
          <w:rFonts w:ascii="Calibri" w:hAnsi="Calibri" w:cs="Calibri"/>
          <w:b/>
          <w:color w:val="008000"/>
          <w:sz w:val="18"/>
          <w:szCs w:val="18"/>
        </w:rPr>
      </w:pPr>
      <w:r w:rsidRPr="00C8122E">
        <w:rPr>
          <w:rFonts w:ascii="Calibri" w:hAnsi="Calibri" w:cs="Calibri"/>
          <w:b/>
          <w:color w:val="008000"/>
          <w:sz w:val="18"/>
          <w:szCs w:val="18"/>
        </w:rPr>
        <w:t>RAN3 to discuss whether source donor should know whether the target cell belongs to a mIAB-Node.</w:t>
      </w:r>
    </w:p>
    <w:p w14:paraId="136AF66B" w14:textId="77777777" w:rsidR="00CA3E9B" w:rsidRPr="000A03B0" w:rsidRDefault="00CA3E9B" w:rsidP="007F32B2">
      <w:pPr>
        <w:widowControl w:val="0"/>
        <w:ind w:left="288" w:hanging="144"/>
        <w:rPr>
          <w:rFonts w:ascii="Calibri" w:hAnsi="Calibri" w:cs="Calibri"/>
          <w:b/>
          <w:color w:val="008000"/>
          <w:sz w:val="18"/>
          <w:szCs w:val="18"/>
        </w:rPr>
      </w:pPr>
      <w:r w:rsidRPr="000A03B0">
        <w:rPr>
          <w:rFonts w:ascii="Calibri" w:hAnsi="Calibri" w:cs="Calibri"/>
          <w:b/>
          <w:color w:val="008000"/>
          <w:sz w:val="18"/>
          <w:szCs w:val="18"/>
        </w:rPr>
        <w:t>RAN3 to further discuss the following options for TAC/RANAC issue:</w:t>
      </w:r>
    </w:p>
    <w:p w14:paraId="097C2C09" w14:textId="77777777" w:rsidR="00CA3E9B" w:rsidRPr="000A03B0" w:rsidRDefault="00CA3E9B" w:rsidP="007F32B2">
      <w:pPr>
        <w:widowControl w:val="0"/>
        <w:ind w:left="288" w:hanging="144"/>
        <w:rPr>
          <w:rFonts w:ascii="Calibri" w:hAnsi="Calibri" w:cs="Calibri"/>
          <w:b/>
          <w:color w:val="008000"/>
          <w:sz w:val="18"/>
          <w:szCs w:val="18"/>
        </w:rPr>
      </w:pPr>
      <w:r w:rsidRPr="000A03B0">
        <w:rPr>
          <w:rFonts w:ascii="Calibri" w:hAnsi="Calibri" w:cs="Calibri"/>
          <w:b/>
          <w:color w:val="008000"/>
          <w:sz w:val="18"/>
          <w:szCs w:val="18"/>
        </w:rPr>
        <w:t>-</w:t>
      </w:r>
      <w:r w:rsidRPr="000A03B0">
        <w:rPr>
          <w:rFonts w:ascii="Calibri" w:hAnsi="Calibri" w:cs="Calibri"/>
          <w:b/>
          <w:color w:val="008000"/>
          <w:sz w:val="18"/>
          <w:szCs w:val="18"/>
        </w:rPr>
        <w:tab/>
        <w:t xml:space="preserve">Option 1: The TAC/RANAC for the mobile IAB cell can be changed in order to reflect the physical location when the mobile IAB-node moves. </w:t>
      </w:r>
    </w:p>
    <w:p w14:paraId="7BB1FB7B" w14:textId="77777777" w:rsidR="00CA3E9B" w:rsidRPr="000A03B0" w:rsidRDefault="00CA3E9B" w:rsidP="007F32B2">
      <w:pPr>
        <w:widowControl w:val="0"/>
        <w:ind w:left="288" w:hanging="144"/>
        <w:rPr>
          <w:rFonts w:ascii="Calibri" w:hAnsi="Calibri" w:cs="Calibri"/>
          <w:b/>
          <w:color w:val="008000"/>
          <w:sz w:val="18"/>
          <w:szCs w:val="18"/>
        </w:rPr>
      </w:pPr>
      <w:r w:rsidRPr="000A03B0">
        <w:rPr>
          <w:rFonts w:ascii="Calibri" w:hAnsi="Calibri" w:cs="Calibri"/>
          <w:b/>
          <w:color w:val="008000"/>
          <w:sz w:val="18"/>
          <w:szCs w:val="18"/>
        </w:rPr>
        <w:t>-</w:t>
      </w:r>
      <w:r w:rsidRPr="000A03B0">
        <w:rPr>
          <w:rFonts w:ascii="Calibri" w:hAnsi="Calibri" w:cs="Calibri"/>
          <w:b/>
          <w:color w:val="008000"/>
          <w:sz w:val="18"/>
          <w:szCs w:val="18"/>
        </w:rPr>
        <w:tab/>
        <w:t>Option 2: Using static TAC/RANAC for mobile IAB when it moves. Involvement of SA2 may be needed</w:t>
      </w:r>
    </w:p>
    <w:p w14:paraId="587BE109" w14:textId="77777777" w:rsidR="00CA3E9B" w:rsidRDefault="00CA3E9B" w:rsidP="00CA3E9B">
      <w:pPr>
        <w:widowControl w:val="0"/>
        <w:rPr>
          <w:rFonts w:ascii="Calibri" w:hAnsi="Calibri" w:cs="Calibri"/>
          <w:b/>
          <w:color w:val="008000"/>
          <w:sz w:val="18"/>
          <w:szCs w:val="18"/>
          <w:lang w:eastAsia="en-US"/>
        </w:rPr>
      </w:pPr>
    </w:p>
    <w:p w14:paraId="70F1F9B2" w14:textId="2FAF1BCB" w:rsidR="00E72630" w:rsidRDefault="00CA3E9B">
      <w:pPr>
        <w:overflowPunct/>
        <w:autoSpaceDE/>
        <w:autoSpaceDN/>
        <w:adjustRightInd/>
        <w:spacing w:after="0"/>
        <w:jc w:val="left"/>
        <w:textAlignment w:val="auto"/>
      </w:pPr>
      <w:r>
        <w:t xml:space="preserve">This contribution provides further analysis on these issues. </w:t>
      </w:r>
    </w:p>
    <w:p w14:paraId="37869C79" w14:textId="6593BCFE" w:rsidR="009443C0" w:rsidRDefault="007F32B2" w:rsidP="009443C0">
      <w:pPr>
        <w:pStyle w:val="Heading1"/>
      </w:pPr>
      <w:r>
        <w:t>Information shared between two logical IAB-DUs</w:t>
      </w:r>
    </w:p>
    <w:p w14:paraId="27121F0A" w14:textId="69752DB8" w:rsidR="00D96529" w:rsidRDefault="00DB4913" w:rsidP="00204794">
      <w:r>
        <w:t xml:space="preserve">UE context sharing between DU1 and DU2. </w:t>
      </w:r>
      <w:r w:rsidR="00D17089">
        <w:t>It is worthy to note that the UE’s source DU (IAB-DU1) and target DU (IAB-DU2) are</w:t>
      </w:r>
      <w:r w:rsidR="00BD5CA2">
        <w:t xml:space="preserve"> </w:t>
      </w:r>
      <w:r w:rsidR="00D17089">
        <w:t xml:space="preserve">co-located at the migrating IAB. </w:t>
      </w:r>
      <w:r w:rsidR="00162083">
        <w:t xml:space="preserve">In case both DU </w:t>
      </w:r>
      <w:r w:rsidR="00213054">
        <w:t xml:space="preserve">use same </w:t>
      </w:r>
      <w:r w:rsidR="0076716C">
        <w:t>context/</w:t>
      </w:r>
      <w:r w:rsidR="00213054">
        <w:t xml:space="preserve">configuration for the UE, </w:t>
      </w:r>
      <w:r w:rsidR="00EF3908">
        <w:t xml:space="preserve">there may be no need to exchange the </w:t>
      </w:r>
      <w:r w:rsidR="0076716C">
        <w:t>context/</w:t>
      </w:r>
      <w:r w:rsidR="00EF3908">
        <w:t xml:space="preserve">configuration between </w:t>
      </w:r>
      <w:r w:rsidR="00A357DA">
        <w:t xml:space="preserve">IAB-DU2 and target IAB-donor-CU, and between target IAB-donor-CU and source IAB-donor-CU. </w:t>
      </w:r>
      <w:r w:rsidR="00767BDC">
        <w:t>The information that can be shared between the two</w:t>
      </w:r>
      <w:r w:rsidR="00EB36F3">
        <w:t xml:space="preserve"> logical IAB-DUs can include the configuration related to </w:t>
      </w:r>
      <w:r w:rsidR="00DF5E98">
        <w:t xml:space="preserve">RLC, MAC and PHY. </w:t>
      </w:r>
    </w:p>
    <w:p w14:paraId="425128BA" w14:textId="1452FF49" w:rsidR="0076716C" w:rsidRDefault="00CB5822" w:rsidP="00CB5822">
      <w:pPr>
        <w:rPr>
          <w:b/>
          <w:bCs/>
        </w:rPr>
      </w:pPr>
      <w:r>
        <w:rPr>
          <w:b/>
          <w:bCs/>
        </w:rPr>
        <w:t xml:space="preserve">Observation </w:t>
      </w:r>
      <w:r w:rsidR="009F405F">
        <w:rPr>
          <w:b/>
          <w:bCs/>
        </w:rPr>
        <w:t>1</w:t>
      </w:r>
      <w:r>
        <w:rPr>
          <w:b/>
          <w:bCs/>
        </w:rPr>
        <w:t xml:space="preserve">: </w:t>
      </w:r>
      <w:r w:rsidR="00E83DD8">
        <w:rPr>
          <w:b/>
          <w:bCs/>
        </w:rPr>
        <w:t xml:space="preserve">the co-located source DU and </w:t>
      </w:r>
      <w:r w:rsidR="000D2367">
        <w:rPr>
          <w:b/>
          <w:bCs/>
        </w:rPr>
        <w:t xml:space="preserve">target DU </w:t>
      </w:r>
      <w:r w:rsidR="0076716C">
        <w:rPr>
          <w:b/>
          <w:bCs/>
        </w:rPr>
        <w:t>can share the UE context/configuration</w:t>
      </w:r>
      <w:r w:rsidR="00D14226">
        <w:rPr>
          <w:b/>
          <w:bCs/>
        </w:rPr>
        <w:t xml:space="preserve"> related to RLC, MAC and PHY</w:t>
      </w:r>
      <w:r w:rsidR="00421F75">
        <w:rPr>
          <w:b/>
          <w:bCs/>
        </w:rPr>
        <w:t xml:space="preserve">. </w:t>
      </w:r>
    </w:p>
    <w:p w14:paraId="123269E3" w14:textId="4F1848B8" w:rsidR="00D362D5" w:rsidRDefault="0087445F" w:rsidP="00710FBB">
      <w:pPr>
        <w:rPr>
          <w:b/>
          <w:bCs/>
        </w:rPr>
      </w:pPr>
      <w:r>
        <w:rPr>
          <w:b/>
          <w:bCs/>
        </w:rPr>
        <w:t xml:space="preserve">Proposal </w:t>
      </w:r>
      <w:r w:rsidR="009F405F">
        <w:rPr>
          <w:b/>
          <w:bCs/>
        </w:rPr>
        <w:t>1</w:t>
      </w:r>
      <w:r w:rsidR="00ED7766">
        <w:rPr>
          <w:b/>
          <w:bCs/>
        </w:rPr>
        <w:t>: RAN3 study the mobility enhancement to reduce signal</w:t>
      </w:r>
      <w:r w:rsidR="00AE5D60">
        <w:rPr>
          <w:b/>
          <w:bCs/>
        </w:rPr>
        <w:t>l</w:t>
      </w:r>
      <w:r w:rsidR="00ED7766">
        <w:rPr>
          <w:b/>
          <w:bCs/>
        </w:rPr>
        <w:t>ing</w:t>
      </w:r>
      <w:r w:rsidR="00710FBB">
        <w:rPr>
          <w:b/>
          <w:bCs/>
        </w:rPr>
        <w:t xml:space="preserve">, considering the UE’s source DU and target DU are co-located. </w:t>
      </w:r>
    </w:p>
    <w:p w14:paraId="4FE9B059" w14:textId="531F160E" w:rsidR="00C92509" w:rsidRDefault="00C92509" w:rsidP="00710FBB">
      <w:pPr>
        <w:rPr>
          <w:b/>
          <w:bCs/>
        </w:rPr>
      </w:pPr>
    </w:p>
    <w:p w14:paraId="49B7742E" w14:textId="31305FB9" w:rsidR="00C92509" w:rsidRDefault="00A66A79" w:rsidP="00C92509">
      <w:pPr>
        <w:pStyle w:val="Heading1"/>
      </w:pPr>
      <w:r>
        <w:t xml:space="preserve">XnAP impact on </w:t>
      </w:r>
      <w:r w:rsidRPr="00A66A79">
        <w:t xml:space="preserve">target donor CU of mobile IAB-MT that the migrating node is a mobile IAB-node </w:t>
      </w:r>
    </w:p>
    <w:p w14:paraId="13A950C7" w14:textId="77777777" w:rsidR="00C81BCA" w:rsidRDefault="00824396" w:rsidP="00C92509">
      <w:r>
        <w:t xml:space="preserve">RAN3 agreed </w:t>
      </w:r>
    </w:p>
    <w:p w14:paraId="19811F7D" w14:textId="77777777" w:rsidR="00C81BCA" w:rsidRPr="00C81BCA" w:rsidRDefault="00C81BCA" w:rsidP="00C81BCA">
      <w:pPr>
        <w:ind w:left="706" w:hanging="144"/>
        <w:rPr>
          <w:rFonts w:ascii="Times New Roman" w:hAnsi="Times New Roman"/>
          <w:color w:val="00B050"/>
          <w:sz w:val="22"/>
          <w:szCs w:val="22"/>
          <w:lang w:val="en-US"/>
        </w:rPr>
      </w:pPr>
      <w:r w:rsidRPr="00C81BCA">
        <w:rPr>
          <w:rFonts w:ascii="Times New Roman" w:hAnsi="Times New Roman"/>
          <w:color w:val="00B050"/>
          <w:sz w:val="22"/>
          <w:szCs w:val="22"/>
        </w:rPr>
        <w:t xml:space="preserve">Source donor CU of mobile IAB-MT informs the target donor CU of mobile IAB-MT that the migrating node is a mobile IAB-node, via explicit indication in XnAP HO Request message. </w:t>
      </w:r>
    </w:p>
    <w:p w14:paraId="463BC0C1" w14:textId="2B142A09" w:rsidR="00407B76" w:rsidRPr="00407B76" w:rsidRDefault="00C81BCA" w:rsidP="00407B76">
      <w:r>
        <w:t>But this agreement was agreed</w:t>
      </w:r>
      <w:r w:rsidR="00957DC0">
        <w:t xml:space="preserve"> before the RAN2 made </w:t>
      </w:r>
      <w:r>
        <w:t xml:space="preserve">the decision </w:t>
      </w:r>
      <w:r w:rsidR="00957DC0">
        <w:t>on how IAB-donor know a mobile IAB. RAN2 agreed</w:t>
      </w:r>
      <w:r w:rsidR="002213B8">
        <w:t xml:space="preserve"> </w:t>
      </w:r>
      <w:r w:rsidR="00407B76">
        <w:rPr>
          <w:rStyle w:val="normaltextrun"/>
          <w:rFonts w:cs="Arial"/>
          <w:i/>
          <w:iCs/>
          <w:color w:val="FF0000"/>
        </w:rPr>
        <w:t>UE capability signalling is the baseline to let CU know that the MT is a “mobile-IAB” type. FFS early mobile-IAB indication, e.g. in Msg5.</w:t>
      </w:r>
      <w:r w:rsidR="00407B76">
        <w:rPr>
          <w:rStyle w:val="eop"/>
          <w:rFonts w:cs="Arial"/>
          <w:b/>
          <w:bCs/>
          <w:color w:val="FF0000"/>
        </w:rPr>
        <w:t> </w:t>
      </w:r>
    </w:p>
    <w:p w14:paraId="4CA325B5" w14:textId="77777777" w:rsidR="00B07039" w:rsidRDefault="002213B8" w:rsidP="00C92509">
      <w:r>
        <w:t xml:space="preserve">Based on RAN2 agreement, the IAB-donor (i.e. source IAB-donor and target IAB-donor) have the capability to know a mobile IAB via the UE capability signaling. The UE capability </w:t>
      </w:r>
      <w:r w:rsidR="00255789">
        <w:t xml:space="preserve">information </w:t>
      </w:r>
      <w:r w:rsidR="0059739D">
        <w:t xml:space="preserve">is provided from source IAB-donor to target IAB-donor during the handover preparation procedure. </w:t>
      </w:r>
      <w:r w:rsidR="0048704A">
        <w:t xml:space="preserve">The target IAB-donor always need to </w:t>
      </w:r>
      <w:r w:rsidR="001E6DEB">
        <w:t>process</w:t>
      </w:r>
      <w:r w:rsidR="0048704A">
        <w:t xml:space="preserve"> the UE capability information during the handover preparation procedure, thus the target IAB-donor can know the mobile IAB during the processing of the UE capability information. </w:t>
      </w:r>
      <w:r w:rsidR="0059739D">
        <w:t xml:space="preserve">There is no benefit to introduce an addition </w:t>
      </w:r>
      <w:r w:rsidR="0059739D">
        <w:rPr>
          <w:i/>
          <w:iCs/>
        </w:rPr>
        <w:t>M</w:t>
      </w:r>
      <w:r w:rsidR="0048704A">
        <w:rPr>
          <w:i/>
          <w:iCs/>
        </w:rPr>
        <w:t xml:space="preserve">obile IAB indication </w:t>
      </w:r>
      <w:r w:rsidR="0048704A">
        <w:t xml:space="preserve">IE in the handover preparation procedure. </w:t>
      </w:r>
      <w:r w:rsidR="00CF466B">
        <w:t>In other words, without the new</w:t>
      </w:r>
      <w:r w:rsidR="00CF466B" w:rsidRPr="00CF466B">
        <w:rPr>
          <w:i/>
          <w:iCs/>
        </w:rPr>
        <w:t xml:space="preserve"> </w:t>
      </w:r>
      <w:r w:rsidR="00CF466B">
        <w:rPr>
          <w:i/>
          <w:iCs/>
        </w:rPr>
        <w:t xml:space="preserve">Mobile IAB indication </w:t>
      </w:r>
      <w:r w:rsidR="00CF466B">
        <w:t>IE</w:t>
      </w:r>
      <w:r w:rsidR="00CF466B">
        <w:t>, target IAB-donor can still know the mobile IAB via the UE capability information</w:t>
      </w:r>
      <w:r w:rsidR="00F24962">
        <w:t>.</w:t>
      </w:r>
      <w:r w:rsidR="00CF466B">
        <w:t xml:space="preserve"> </w:t>
      </w:r>
    </w:p>
    <w:p w14:paraId="43433BB0" w14:textId="77777777" w:rsidR="009F7E16" w:rsidRDefault="00B07039" w:rsidP="00B07039">
      <w:pPr>
        <w:rPr>
          <w:b/>
          <w:bCs/>
        </w:rPr>
      </w:pPr>
      <w:r>
        <w:rPr>
          <w:b/>
          <w:bCs/>
        </w:rPr>
        <w:t xml:space="preserve">Observation </w:t>
      </w:r>
      <w:r>
        <w:rPr>
          <w:b/>
          <w:bCs/>
        </w:rPr>
        <w:t>2</w:t>
      </w:r>
      <w:r>
        <w:rPr>
          <w:b/>
          <w:bCs/>
        </w:rPr>
        <w:t xml:space="preserve">: </w:t>
      </w:r>
      <w:r w:rsidR="009F7E16">
        <w:rPr>
          <w:b/>
          <w:bCs/>
        </w:rPr>
        <w:t xml:space="preserve">without the new </w:t>
      </w:r>
      <w:r w:rsidR="009F7E16" w:rsidRPr="009F7E16">
        <w:rPr>
          <w:b/>
          <w:bCs/>
          <w:i/>
          <w:iCs/>
        </w:rPr>
        <w:t xml:space="preserve">Mobile IAB indication </w:t>
      </w:r>
      <w:r w:rsidR="009F7E16">
        <w:rPr>
          <w:b/>
          <w:bCs/>
        </w:rPr>
        <w:t xml:space="preserve">IE, target IAB-donor can still know the mobile IAB via the UE capability information. </w:t>
      </w:r>
    </w:p>
    <w:p w14:paraId="1BE11CF0" w14:textId="77777777" w:rsidR="009F7E16" w:rsidRDefault="009F7E16" w:rsidP="00C92509"/>
    <w:p w14:paraId="310CEE10" w14:textId="558DD7A1" w:rsidR="00B14772" w:rsidRDefault="009F7E16" w:rsidP="006C5368">
      <w:r>
        <w:t xml:space="preserve">Actually, introducing the </w:t>
      </w:r>
      <w:r>
        <w:rPr>
          <w:i/>
          <w:iCs/>
        </w:rPr>
        <w:t xml:space="preserve">Mobile IAB indication </w:t>
      </w:r>
      <w:r>
        <w:t xml:space="preserve">IE in the handover </w:t>
      </w:r>
      <w:r>
        <w:t xml:space="preserve">signaling </w:t>
      </w:r>
      <w:r w:rsidR="006C5368">
        <w:t>have other issues. It unnecessarily add</w:t>
      </w:r>
      <w:r w:rsidR="0088280E">
        <w:t>s</w:t>
      </w:r>
      <w:r w:rsidR="006C5368">
        <w:t xml:space="preserve"> the implementation effort</w:t>
      </w:r>
      <w:r w:rsidR="00D47A80">
        <w:t xml:space="preserve"> </w:t>
      </w:r>
      <w:r w:rsidR="006C5368">
        <w:t>to handle the new IE.</w:t>
      </w:r>
      <w:r w:rsidR="00BD7CFF">
        <w:t xml:space="preserve"> It is not just about the additional code/test for the new IE, but also need to handle the abnormal condition</w:t>
      </w:r>
      <w:r w:rsidR="00E84E2A">
        <w:t xml:space="preserve"> when the UE capability information and the new </w:t>
      </w:r>
      <w:r w:rsidR="00E84E2A">
        <w:rPr>
          <w:i/>
          <w:iCs/>
        </w:rPr>
        <w:t xml:space="preserve">Mobile IAB indication </w:t>
      </w:r>
      <w:r w:rsidR="00E84E2A">
        <w:t>IE</w:t>
      </w:r>
      <w:r w:rsidR="00E84E2A">
        <w:t xml:space="preserve"> are inconsistent. F</w:t>
      </w:r>
      <w:r w:rsidR="00BD7CFF">
        <w:t xml:space="preserve">or example, the UE capability information indicates the UE is a mobile IAB but the new </w:t>
      </w:r>
      <w:r w:rsidR="00675564">
        <w:rPr>
          <w:i/>
          <w:iCs/>
        </w:rPr>
        <w:t xml:space="preserve">Mobile IAB indication </w:t>
      </w:r>
      <w:r w:rsidR="00675564">
        <w:t xml:space="preserve">IE </w:t>
      </w:r>
      <w:r w:rsidR="0095086D">
        <w:t>i</w:t>
      </w:r>
      <w:r w:rsidR="00BD7CFF">
        <w:t>s absent</w:t>
      </w:r>
      <w:r w:rsidR="0095086D">
        <w:t xml:space="preserve">, or vice versa. </w:t>
      </w:r>
      <w:r w:rsidR="006C5368">
        <w:t xml:space="preserve"> </w:t>
      </w:r>
      <w:r w:rsidR="00B14772">
        <w:t xml:space="preserve">In addition, the new </w:t>
      </w:r>
      <w:r w:rsidR="00B14772">
        <w:rPr>
          <w:i/>
          <w:iCs/>
        </w:rPr>
        <w:t xml:space="preserve">Mobile IAB indication </w:t>
      </w:r>
      <w:r w:rsidR="00B14772">
        <w:t>IE</w:t>
      </w:r>
      <w:r w:rsidR="00B14772">
        <w:t xml:space="preserve"> is an optional IE. </w:t>
      </w:r>
      <w:r w:rsidR="004574EF">
        <w:t>The source IAB-donor may be implemented to not include this Optional IE in the Handover signaling</w:t>
      </w:r>
      <w:r w:rsidR="00C34490">
        <w:t xml:space="preserve">. </w:t>
      </w:r>
    </w:p>
    <w:p w14:paraId="5DB154F2" w14:textId="1D2216CD" w:rsidR="002213B8" w:rsidRDefault="00FB6066" w:rsidP="00C92509">
      <w:r>
        <w:t>One may argue that introducing a new IE may be aligned with Rel-16/17</w:t>
      </w:r>
      <w:r w:rsidR="00B07FE2">
        <w:t xml:space="preserve">, but this is not a valid argument. </w:t>
      </w:r>
      <w:r w:rsidR="00153AB4">
        <w:t xml:space="preserve">Introducing redundant information should </w:t>
      </w:r>
      <w:r w:rsidR="003B281F">
        <w:t xml:space="preserve">always </w:t>
      </w:r>
      <w:r w:rsidR="00153AB4">
        <w:t>be avoided</w:t>
      </w:r>
      <w:r w:rsidR="001257C7">
        <w:t>.</w:t>
      </w:r>
      <w:r w:rsidR="00B07039">
        <w:t xml:space="preserve"> </w:t>
      </w:r>
    </w:p>
    <w:p w14:paraId="7B046D80" w14:textId="74A39ED4" w:rsidR="0088280E" w:rsidRDefault="0088280E" w:rsidP="0088280E">
      <w:pPr>
        <w:rPr>
          <w:b/>
          <w:bCs/>
        </w:rPr>
      </w:pPr>
      <w:r>
        <w:rPr>
          <w:b/>
          <w:bCs/>
        </w:rPr>
        <w:t xml:space="preserve">Observation </w:t>
      </w:r>
      <w:r>
        <w:rPr>
          <w:b/>
          <w:bCs/>
        </w:rPr>
        <w:t>3</w:t>
      </w:r>
      <w:r>
        <w:rPr>
          <w:b/>
          <w:bCs/>
        </w:rPr>
        <w:t xml:space="preserve">: </w:t>
      </w:r>
      <w:r>
        <w:rPr>
          <w:b/>
          <w:bCs/>
        </w:rPr>
        <w:t>introducing a redundant</w:t>
      </w:r>
      <w:r>
        <w:rPr>
          <w:b/>
          <w:bCs/>
        </w:rPr>
        <w:t xml:space="preserve"> new </w:t>
      </w:r>
      <w:r w:rsidRPr="009F7E16">
        <w:rPr>
          <w:b/>
          <w:bCs/>
          <w:i/>
          <w:iCs/>
        </w:rPr>
        <w:t xml:space="preserve">Mobile IAB indication </w:t>
      </w:r>
      <w:r>
        <w:rPr>
          <w:b/>
          <w:bCs/>
        </w:rPr>
        <w:t>IE</w:t>
      </w:r>
      <w:r>
        <w:rPr>
          <w:b/>
          <w:bCs/>
        </w:rPr>
        <w:t xml:space="preserve"> adds additional effort for implementation</w:t>
      </w:r>
      <w:r>
        <w:rPr>
          <w:b/>
          <w:bCs/>
        </w:rPr>
        <w:t>,</w:t>
      </w:r>
      <w:r>
        <w:rPr>
          <w:b/>
          <w:bCs/>
        </w:rPr>
        <w:t xml:space="preserve"> e.g. new code/test for the new IE, and need to handle the abnormal condition when the </w:t>
      </w:r>
      <w:r w:rsidR="00AC5E0D">
        <w:rPr>
          <w:b/>
          <w:bCs/>
        </w:rPr>
        <w:t xml:space="preserve">new </w:t>
      </w:r>
      <w:r w:rsidR="00AC5E0D" w:rsidRPr="009F7E16">
        <w:rPr>
          <w:b/>
          <w:bCs/>
          <w:i/>
          <w:iCs/>
        </w:rPr>
        <w:t xml:space="preserve">Mobile IAB indication </w:t>
      </w:r>
      <w:r w:rsidR="00AC5E0D">
        <w:rPr>
          <w:b/>
          <w:bCs/>
        </w:rPr>
        <w:t xml:space="preserve">IE </w:t>
      </w:r>
      <w:r w:rsidR="002257D2">
        <w:rPr>
          <w:b/>
          <w:bCs/>
        </w:rPr>
        <w:t>is inconsistent with the UE capability information</w:t>
      </w:r>
      <w:r>
        <w:rPr>
          <w:b/>
          <w:bCs/>
        </w:rPr>
        <w:t xml:space="preserve">. </w:t>
      </w:r>
    </w:p>
    <w:p w14:paraId="6918E48A" w14:textId="77777777" w:rsidR="0088280E" w:rsidRDefault="0088280E" w:rsidP="00C92509"/>
    <w:p w14:paraId="081A66C6" w14:textId="29EACB0E" w:rsidR="00550E2B" w:rsidRDefault="00550E2B" w:rsidP="00C92509">
      <w:pPr>
        <w:rPr>
          <w:b/>
          <w:bCs/>
        </w:rPr>
      </w:pPr>
      <w:r w:rsidRPr="2565B615">
        <w:rPr>
          <w:b/>
          <w:bCs/>
        </w:rPr>
        <w:t xml:space="preserve">Proposal </w:t>
      </w:r>
      <w:r w:rsidR="009F405F">
        <w:rPr>
          <w:b/>
          <w:bCs/>
        </w:rPr>
        <w:t>2</w:t>
      </w:r>
      <w:r w:rsidRPr="2565B615">
        <w:rPr>
          <w:b/>
          <w:bCs/>
        </w:rPr>
        <w:t xml:space="preserve">: </w:t>
      </w:r>
      <w:r w:rsidR="00F91783">
        <w:rPr>
          <w:b/>
          <w:bCs/>
        </w:rPr>
        <w:t xml:space="preserve">there is no need to add explicit mobile IAB indication in the handover preparation message. </w:t>
      </w:r>
      <w:r w:rsidRPr="2565B615">
        <w:rPr>
          <w:b/>
          <w:bCs/>
        </w:rPr>
        <w:t xml:space="preserve"> </w:t>
      </w:r>
    </w:p>
    <w:p w14:paraId="0A4076DC" w14:textId="661C8B92" w:rsidR="00B552CC" w:rsidRDefault="00B552CC" w:rsidP="00A1082A">
      <w:pPr>
        <w:ind w:left="1134" w:hanging="1134"/>
      </w:pPr>
    </w:p>
    <w:p w14:paraId="28E6AA6A" w14:textId="7D427317" w:rsidR="00B552CC" w:rsidRDefault="00B552CC" w:rsidP="00B552CC">
      <w:pPr>
        <w:pStyle w:val="Heading1"/>
      </w:pPr>
      <w:r w:rsidRPr="00B552CC">
        <w:t>whether source donor should know whether the target cell belongs to a mIAB-Node</w:t>
      </w:r>
    </w:p>
    <w:p w14:paraId="6C76DE65" w14:textId="0D2BE714" w:rsidR="00A1082A" w:rsidRDefault="00A1082A" w:rsidP="00A1082A">
      <w:pPr>
        <w:ind w:left="1134" w:hanging="1134"/>
      </w:pPr>
      <w:r>
        <w:t>RAN3#117 agreed:</w:t>
      </w:r>
    </w:p>
    <w:p w14:paraId="273EB231" w14:textId="77777777" w:rsidR="00A1082A" w:rsidRPr="009D4CB5" w:rsidRDefault="00A1082A" w:rsidP="00A1082A">
      <w:pPr>
        <w:widowControl w:val="0"/>
        <w:ind w:left="712" w:hanging="144"/>
        <w:rPr>
          <w:rFonts w:ascii="Calibri" w:hAnsi="Calibri" w:cs="Calibri"/>
          <w:b/>
          <w:bCs/>
          <w:i/>
          <w:iCs/>
          <w:color w:val="00B050"/>
          <w:kern w:val="2"/>
        </w:rPr>
      </w:pPr>
      <w:r w:rsidRPr="009D4CB5">
        <w:rPr>
          <w:rFonts w:ascii="Calibri" w:hAnsi="Calibri" w:cs="Calibri"/>
          <w:b/>
          <w:bCs/>
          <w:i/>
          <w:iCs/>
          <w:color w:val="00B050"/>
          <w:kern w:val="2"/>
        </w:rPr>
        <w:t xml:space="preserve">The donor CU should know that the IAB node is “mobile”. </w:t>
      </w:r>
    </w:p>
    <w:p w14:paraId="2B46D20D" w14:textId="77777777" w:rsidR="00A1082A" w:rsidRDefault="00A1082A" w:rsidP="00A1082A">
      <w:r>
        <w:t>Given this agreement, upon an incoming Handover Request containing the IAB-node indication, the donor CU is able to rule out mobile-IAB cells as handover target cells, thus adhering to the restriction that a mobile IAB node has no child nodes.</w:t>
      </w:r>
    </w:p>
    <w:p w14:paraId="56F504CD" w14:textId="77777777" w:rsidR="00A1082A" w:rsidRDefault="00A1082A" w:rsidP="00A1082A">
      <w:r>
        <w:t>However, RAN3 should discuss whether it should be possible to avoid, or minimize, Handover Requests for IAB nodes indicating a mobile-IAB cell as target cell. This would require that by some mechanism the target donor informs the source donor about mobile-IAB cells under its control.</w:t>
      </w:r>
    </w:p>
    <w:p w14:paraId="10C622A3" w14:textId="77777777" w:rsidR="00A1082A" w:rsidRDefault="00A1082A" w:rsidP="00A1082A">
      <w:pPr>
        <w:ind w:left="1134" w:hanging="1134"/>
      </w:pPr>
      <w:r>
        <w:t>Currently, XnAP Handover Preparation Failure can indicate e.g. the following Cause values: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45"/>
      </w:tblGrid>
      <w:tr w:rsidR="00A1082A" w:rsidRPr="00FD0425" w14:paraId="319847CF" w14:textId="77777777" w:rsidTr="001705D8">
        <w:tc>
          <w:tcPr>
            <w:tcW w:w="2977" w:type="dxa"/>
          </w:tcPr>
          <w:p w14:paraId="1C2B8BDA" w14:textId="77777777" w:rsidR="00A1082A" w:rsidRPr="00FD0425" w:rsidRDefault="00A1082A" w:rsidP="001705D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Radio Network Layer cause</w:t>
            </w:r>
          </w:p>
        </w:tc>
        <w:tc>
          <w:tcPr>
            <w:tcW w:w="5245" w:type="dxa"/>
          </w:tcPr>
          <w:p w14:paraId="4DA0EC5B" w14:textId="77777777" w:rsidR="00A1082A" w:rsidRPr="00FD0425" w:rsidRDefault="00A1082A" w:rsidP="001705D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Meaning</w:t>
            </w:r>
          </w:p>
        </w:tc>
      </w:tr>
      <w:tr w:rsidR="00A1082A" w:rsidRPr="00FD0425" w14:paraId="787E6071" w14:textId="77777777" w:rsidTr="001705D8">
        <w:tc>
          <w:tcPr>
            <w:tcW w:w="2977" w:type="dxa"/>
          </w:tcPr>
          <w:p w14:paraId="3A07A77E" w14:textId="77777777" w:rsidR="00A1082A" w:rsidRPr="00FD0425" w:rsidRDefault="00A1082A" w:rsidP="001705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…</w:t>
            </w:r>
          </w:p>
        </w:tc>
        <w:tc>
          <w:tcPr>
            <w:tcW w:w="5245" w:type="dxa"/>
          </w:tcPr>
          <w:p w14:paraId="52B157B3" w14:textId="77777777" w:rsidR="00A1082A" w:rsidRPr="00FD0425" w:rsidRDefault="00A1082A" w:rsidP="001705D8">
            <w:pPr>
              <w:pStyle w:val="TAL"/>
              <w:rPr>
                <w:lang w:eastAsia="ja-JP"/>
              </w:rPr>
            </w:pPr>
          </w:p>
        </w:tc>
      </w:tr>
      <w:tr w:rsidR="00A1082A" w:rsidRPr="00FD0425" w14:paraId="36909530" w14:textId="77777777" w:rsidTr="001705D8">
        <w:tc>
          <w:tcPr>
            <w:tcW w:w="2977" w:type="dxa"/>
          </w:tcPr>
          <w:p w14:paraId="2346B6E7" w14:textId="77777777" w:rsidR="00A1082A" w:rsidRPr="00FD0425" w:rsidRDefault="00A1082A" w:rsidP="001705D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Handover Target not Allowed</w:t>
            </w:r>
          </w:p>
        </w:tc>
        <w:tc>
          <w:tcPr>
            <w:tcW w:w="5245" w:type="dxa"/>
          </w:tcPr>
          <w:p w14:paraId="6AE38C77" w14:textId="77777777" w:rsidR="00A1082A" w:rsidRPr="00FD0425" w:rsidRDefault="00A1082A" w:rsidP="001705D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Handover to the indicated target cell is not allowed for the UE in question.</w:t>
            </w:r>
          </w:p>
        </w:tc>
      </w:tr>
      <w:tr w:rsidR="00A1082A" w:rsidRPr="00FD0425" w14:paraId="6547221B" w14:textId="77777777" w:rsidTr="001705D8">
        <w:tc>
          <w:tcPr>
            <w:tcW w:w="2977" w:type="dxa"/>
          </w:tcPr>
          <w:p w14:paraId="63B811E6" w14:textId="77777777" w:rsidR="00A1082A" w:rsidRPr="00FD0425" w:rsidRDefault="00A1082A" w:rsidP="001705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…</w:t>
            </w:r>
          </w:p>
        </w:tc>
        <w:tc>
          <w:tcPr>
            <w:tcW w:w="5245" w:type="dxa"/>
          </w:tcPr>
          <w:p w14:paraId="27939EFD" w14:textId="77777777" w:rsidR="00A1082A" w:rsidRPr="00FD0425" w:rsidRDefault="00A1082A" w:rsidP="001705D8">
            <w:pPr>
              <w:pStyle w:val="TAL"/>
              <w:rPr>
                <w:lang w:eastAsia="ja-JP"/>
              </w:rPr>
            </w:pPr>
          </w:p>
        </w:tc>
      </w:tr>
      <w:tr w:rsidR="00A1082A" w:rsidRPr="00FD0425" w14:paraId="6526B4AE" w14:textId="77777777" w:rsidTr="001705D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499C" w14:textId="77777777" w:rsidR="00A1082A" w:rsidRPr="00FD0425" w:rsidRDefault="00A1082A" w:rsidP="001705D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not Allowed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E3C6" w14:textId="77777777" w:rsidR="00A1082A" w:rsidRPr="00FD0425" w:rsidRDefault="00A1082A" w:rsidP="001705D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Requested action towards the indicated target cell is not allowed for the UE in question.</w:t>
            </w:r>
          </w:p>
          <w:p w14:paraId="020717BF" w14:textId="77777777" w:rsidR="00A1082A" w:rsidRPr="00FD0425" w:rsidRDefault="00A1082A" w:rsidP="001705D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</w:tbl>
    <w:p w14:paraId="18EE5D32" w14:textId="77777777" w:rsidR="00A1082A" w:rsidRDefault="00A1082A" w:rsidP="00A1082A">
      <w:pPr>
        <w:ind w:left="1134" w:hanging="1134"/>
      </w:pPr>
    </w:p>
    <w:p w14:paraId="0B79F373" w14:textId="77777777" w:rsidR="00A1082A" w:rsidRDefault="00A1082A" w:rsidP="00A1082A">
      <w:pPr>
        <w:ind w:left="1134" w:hanging="1134"/>
      </w:pPr>
      <w:r>
        <w:t>But neither of them seems sufficient for the source donor to conclude that the target cell is a mobile-IAB cell.</w:t>
      </w:r>
    </w:p>
    <w:p w14:paraId="607D43AA" w14:textId="3EB28FC3" w:rsidR="00A1082A" w:rsidRDefault="00A1082A" w:rsidP="00EB6312">
      <w:pPr>
        <w:rPr>
          <w:b/>
          <w:bCs/>
        </w:rPr>
      </w:pPr>
      <w:r w:rsidRPr="00253A69">
        <w:rPr>
          <w:b/>
          <w:bCs/>
        </w:rPr>
        <w:t xml:space="preserve">Observation </w:t>
      </w:r>
      <w:r w:rsidR="001B2911">
        <w:rPr>
          <w:b/>
          <w:bCs/>
        </w:rPr>
        <w:t>4</w:t>
      </w:r>
      <w:r w:rsidRPr="00EB6312">
        <w:rPr>
          <w:b/>
          <w:bCs/>
        </w:rPr>
        <w:t>:</w:t>
      </w:r>
      <w:r w:rsidR="00253A69">
        <w:rPr>
          <w:b/>
          <w:bCs/>
        </w:rPr>
        <w:t xml:space="preserve"> </w:t>
      </w:r>
      <w:r w:rsidRPr="00EB6312">
        <w:rPr>
          <w:b/>
          <w:bCs/>
        </w:rPr>
        <w:t>The current Cause values in XnAP Handover Preparation Failure do not allow the source donor to conclude that the target cell requested in Handover Request is a mobile-IAB cell.</w:t>
      </w:r>
    </w:p>
    <w:p w14:paraId="510A85DF" w14:textId="77777777" w:rsidR="003D7359" w:rsidRDefault="003D7359" w:rsidP="00EB6312">
      <w:r>
        <w:t>Possible solutions:</w:t>
      </w:r>
    </w:p>
    <w:p w14:paraId="6904BC0B" w14:textId="67E174B8" w:rsidR="003919AC" w:rsidRDefault="00C73A95" w:rsidP="003D7359">
      <w:pPr>
        <w:pStyle w:val="ListParagraph"/>
        <w:numPr>
          <w:ilvl w:val="0"/>
          <w:numId w:val="27"/>
        </w:numPr>
      </w:pPr>
      <w:r>
        <w:t>Option</w:t>
      </w:r>
      <w:r w:rsidR="003D7359">
        <w:t xml:space="preserve"> 1: </w:t>
      </w:r>
      <w:r w:rsidR="003919AC">
        <w:t xml:space="preserve">introduce a new cause value for target IAB-donor to inform source IAB-donor that handover is rejected since the target cell belongs to a mobile IAB. </w:t>
      </w:r>
    </w:p>
    <w:p w14:paraId="0D4687C2" w14:textId="27A88A57" w:rsidR="003B517F" w:rsidRDefault="003B517F" w:rsidP="003B517F">
      <w:pPr>
        <w:pStyle w:val="ListParagraph"/>
      </w:pPr>
      <w:r>
        <w:t>This cause value need</w:t>
      </w:r>
      <w:r w:rsidR="00C73A95">
        <w:t>s</w:t>
      </w:r>
      <w:r>
        <w:t xml:space="preserve"> to be introduced in XnAP (for Xn-based HO of the IAB-MT), and in NGAP (for N2-based HO of the IAB-MT)</w:t>
      </w:r>
      <w:r w:rsidR="00287A62">
        <w:t xml:space="preserve">. </w:t>
      </w:r>
    </w:p>
    <w:p w14:paraId="3D61720E" w14:textId="77777777" w:rsidR="003919AC" w:rsidRDefault="003919AC" w:rsidP="00EB6312"/>
    <w:p w14:paraId="72E21215" w14:textId="79934F3D" w:rsidR="003D7359" w:rsidRDefault="00C73A95" w:rsidP="003D7359">
      <w:pPr>
        <w:pStyle w:val="ListParagraph"/>
        <w:numPr>
          <w:ilvl w:val="0"/>
          <w:numId w:val="27"/>
        </w:numPr>
      </w:pPr>
      <w:r>
        <w:t>Option</w:t>
      </w:r>
      <w:r w:rsidR="003D7359">
        <w:t xml:space="preserve"> 2: introduce a new attribute to indicate a cell belongs to a mobile IAB. This attribute</w:t>
      </w:r>
      <w:r w:rsidR="00C335B6">
        <w:t xml:space="preserve"> and the cell information is further exchanged during the Xn Setup procedure or Xn </w:t>
      </w:r>
      <w:r w:rsidR="004D6C5A" w:rsidRPr="004D6C5A">
        <w:t xml:space="preserve">NG-RAN node </w:t>
      </w:r>
      <w:r w:rsidR="00C335B6">
        <w:t xml:space="preserve">Configuration Update procedure. </w:t>
      </w:r>
    </w:p>
    <w:p w14:paraId="563663CA" w14:textId="77777777" w:rsidR="00567AC2" w:rsidRDefault="00567AC2" w:rsidP="00C335B6"/>
    <w:p w14:paraId="32614D1D" w14:textId="60B453DB" w:rsidR="00C335B6" w:rsidRDefault="00642F82" w:rsidP="00C335B6">
      <w:r>
        <w:t>Both Options should be further studied. Option 1 may be simple</w:t>
      </w:r>
      <w:r w:rsidR="00567AC2">
        <w:t xml:space="preserve">. </w:t>
      </w:r>
    </w:p>
    <w:p w14:paraId="0F854384" w14:textId="77777777" w:rsidR="00567AC2" w:rsidRPr="003919AC" w:rsidRDefault="00567AC2" w:rsidP="00C335B6"/>
    <w:p w14:paraId="3605EB37" w14:textId="28F2E7ED" w:rsidR="00C77CFE" w:rsidRDefault="00A1082A" w:rsidP="00C77CFE">
      <w:pPr>
        <w:rPr>
          <w:b/>
          <w:bCs/>
        </w:rPr>
      </w:pPr>
      <w:r w:rsidRPr="00253A69">
        <w:rPr>
          <w:b/>
          <w:bCs/>
        </w:rPr>
        <w:t xml:space="preserve">Proposal </w:t>
      </w:r>
      <w:r w:rsidR="009F405F">
        <w:rPr>
          <w:b/>
          <w:bCs/>
        </w:rPr>
        <w:t>3</w:t>
      </w:r>
      <w:r w:rsidRPr="00EB6312">
        <w:rPr>
          <w:b/>
          <w:bCs/>
        </w:rPr>
        <w:t>:</w:t>
      </w:r>
      <w:r w:rsidRPr="00EB6312">
        <w:rPr>
          <w:b/>
          <w:bCs/>
        </w:rPr>
        <w:tab/>
        <w:t>RAN3 discuss the source donor should know about mobile-IAB cells under the target donor’s control to avoid, or minimize, Handover Requests for IAB nodes indicating a mobile-IAB cell as target cell.</w:t>
      </w:r>
    </w:p>
    <w:p w14:paraId="0245C9CD" w14:textId="77777777" w:rsidR="008522DF" w:rsidRDefault="008522DF" w:rsidP="00C77CFE">
      <w:pPr>
        <w:rPr>
          <w:b/>
          <w:bCs/>
        </w:rPr>
      </w:pPr>
    </w:p>
    <w:p w14:paraId="293BB6AB" w14:textId="10ED4EC2" w:rsidR="003A6CD6" w:rsidRDefault="003A6CD6" w:rsidP="003A6CD6">
      <w:pPr>
        <w:pStyle w:val="Heading1"/>
      </w:pPr>
      <w:r>
        <w:t>TAC/RANAC</w:t>
      </w:r>
    </w:p>
    <w:p w14:paraId="5F19EF0D" w14:textId="5AE77586" w:rsidR="00F33906" w:rsidRDefault="00F33906" w:rsidP="00F33906">
      <w:r w:rsidRPr="00F33906">
        <w:t xml:space="preserve">There are </w:t>
      </w:r>
      <w:r>
        <w:t>two options</w:t>
      </w:r>
      <w:r w:rsidR="003866C7">
        <w:t xml:space="preserve"> discussed in previous meeting:</w:t>
      </w:r>
    </w:p>
    <w:p w14:paraId="00F4A0EA" w14:textId="77777777" w:rsidR="00F33906" w:rsidRDefault="00F33906" w:rsidP="00F33906">
      <w:r>
        <w:t>-</w:t>
      </w:r>
      <w:r>
        <w:tab/>
        <w:t xml:space="preserve">Option 1: The TAC/RANAC for the mobile IAB cell can be changed in order to reflect the physical location when the mobile IAB-node moves. </w:t>
      </w:r>
    </w:p>
    <w:p w14:paraId="7AD18823" w14:textId="43CDE6A8" w:rsidR="00F33906" w:rsidRDefault="00F33906" w:rsidP="00F33906">
      <w:r>
        <w:t>-</w:t>
      </w:r>
      <w:r>
        <w:tab/>
        <w:t>Option 2: Using static TAC/RANAC for mobile IAB when it moves. Involvement of SA2 may be needed</w:t>
      </w:r>
    </w:p>
    <w:p w14:paraId="3BE80E9A" w14:textId="6BB4F4C3" w:rsidR="00F33906" w:rsidRDefault="00F33906" w:rsidP="00710FBB"/>
    <w:p w14:paraId="162B4250" w14:textId="1A69B5A9" w:rsidR="00BD1755" w:rsidRDefault="00F33906" w:rsidP="00710FBB">
      <w:r>
        <w:t>In Option 1, the IAB may be similar to NTN that the TAC/RANAC information broadcasted over the air interface can be dynamically changed, e.g. to reflect the physical location of the mobile IAB. The IAB-DU may be configured with the information of TAC/RANAC that need to be used in a specific location, e.g. when the IAB node is approaching a specific location</w:t>
      </w:r>
      <w:r w:rsidR="00DE2E69">
        <w:t xml:space="preserve">. </w:t>
      </w:r>
      <w:r w:rsidR="00DB107B">
        <w:t>Alternatively, the IAB’s TAC/RANAC may be same as its serving donor cell</w:t>
      </w:r>
      <w:r w:rsidR="00956CCC">
        <w:t xml:space="preserve"> or its parent cell</w:t>
      </w:r>
      <w:r w:rsidR="00DA0D42">
        <w:t>, and the IAB is considered as an extension to its serving cell</w:t>
      </w:r>
      <w:r w:rsidR="00DB107B">
        <w:t>.</w:t>
      </w:r>
      <w:r w:rsidR="00BD1755">
        <w:t xml:space="preserve"> When the IAB-MT receives the SIB1 of its serving cell, the IAB-DU may start to use the TAC/RANAC as the one of the received SIB1. </w:t>
      </w:r>
      <w:r w:rsidR="00E0572E">
        <w:t xml:space="preserve">When the IAB-MT is handover to a target cell using a different TAC, the IAB </w:t>
      </w:r>
      <w:r w:rsidR="00803E50">
        <w:t xml:space="preserve">update its SIB1 accordingly to use the new TAC. </w:t>
      </w:r>
      <w:r w:rsidR="00390F26">
        <w:t xml:space="preserve">The change of the TAC can be reported to its IAB-donor via existing F1 procedure. There may be no impact to RAN3. </w:t>
      </w:r>
      <w:r w:rsidR="00C354BB">
        <w:t xml:space="preserve">The changing of TAC in SIB1 may cause </w:t>
      </w:r>
      <w:r w:rsidR="00CD7872">
        <w:t>multiple</w:t>
      </w:r>
      <w:r w:rsidR="00C354BB">
        <w:t xml:space="preserve"> UEs to perform a Registration Update procedure</w:t>
      </w:r>
      <w:r w:rsidR="00B03F54">
        <w:t xml:space="preserve"> when the new TAC does not belong to the UE’s Registration Area. </w:t>
      </w:r>
    </w:p>
    <w:p w14:paraId="181ECDE9" w14:textId="51FFF6A7" w:rsidR="00F33906" w:rsidRDefault="00F33906" w:rsidP="003606AC">
      <w:pPr>
        <w:pStyle w:val="ListParagraph"/>
      </w:pPr>
    </w:p>
    <w:p w14:paraId="19B252E1" w14:textId="77777777" w:rsidR="001C567D" w:rsidRDefault="00BD1755" w:rsidP="001C567D">
      <w:r>
        <w:t xml:space="preserve">In Option 2, the IAB-DU may be configured with a static TAC/RANAC. </w:t>
      </w:r>
      <w:r w:rsidR="007F427A">
        <w:t>Once the UE is on</w:t>
      </w:r>
      <w:r w:rsidR="003121F3">
        <w:t xml:space="preserve">board the train, the UE will perform a Registration Update, and </w:t>
      </w:r>
      <w:r w:rsidR="003B6C78">
        <w:t>the assigned Registration Area includes the mobile IAB’s TAC. As long as the UE stays on the train, the UE will not perform Registration Update until</w:t>
      </w:r>
      <w:r w:rsidR="008C59D5">
        <w:t xml:space="preserve"> other condition is met (e.g. the periodic registration update timer is expired). </w:t>
      </w:r>
      <w:r w:rsidR="00DB124A">
        <w:t>There are some potential issues</w:t>
      </w:r>
    </w:p>
    <w:p w14:paraId="1C87B157" w14:textId="313D2BFB" w:rsidR="001C567D" w:rsidRDefault="000B439E" w:rsidP="001C567D">
      <w:pPr>
        <w:pStyle w:val="ListParagraph"/>
        <w:numPr>
          <w:ilvl w:val="0"/>
          <w:numId w:val="27"/>
        </w:numPr>
      </w:pPr>
      <w:r>
        <w:lastRenderedPageBreak/>
        <w:t xml:space="preserve">it </w:t>
      </w:r>
      <w:r w:rsidR="004B40EC">
        <w:t xml:space="preserve">may be difficult </w:t>
      </w:r>
      <w:r>
        <w:t xml:space="preserve">to support the mobility restriction with forbidden area. </w:t>
      </w:r>
      <w:r w:rsidR="008F1348">
        <w:t>When</w:t>
      </w:r>
      <w:r>
        <w:t xml:space="preserve"> an a</w:t>
      </w:r>
      <w:r w:rsidR="00DB124A">
        <w:t xml:space="preserve">rea is a forbidden area for the UE, e.g. </w:t>
      </w:r>
      <w:r w:rsidR="00E62D09">
        <w:t xml:space="preserve">the TAC of </w:t>
      </w:r>
      <w:r w:rsidR="00DB124A">
        <w:t xml:space="preserve">the </w:t>
      </w:r>
      <w:r w:rsidR="00E62D09">
        <w:t xml:space="preserve">serving donor’s cell belongs to a forbidden area of the UE, </w:t>
      </w:r>
      <w:r w:rsidR="00F80F50">
        <w:t>it may be not possible to reject the UE, since the UE’s serving TAC is the IAB’s TAC that does not reflect the real location</w:t>
      </w:r>
      <w:r w:rsidR="001C567D">
        <w:t>.</w:t>
      </w:r>
    </w:p>
    <w:p w14:paraId="04ADA078" w14:textId="0F6AF4D6" w:rsidR="008C59D5" w:rsidRDefault="001C567D" w:rsidP="001C567D">
      <w:pPr>
        <w:pStyle w:val="ListParagraph"/>
        <w:numPr>
          <w:ilvl w:val="0"/>
          <w:numId w:val="27"/>
        </w:numPr>
      </w:pPr>
      <w:r>
        <w:t>The mobile IAB may actually move out of the</w:t>
      </w:r>
      <w:r w:rsidR="00423910">
        <w:t xml:space="preserve"> AMF’s serving area, and enter a new AMF’s serving area. However, since the UE does not observe the change of TAC, the UE will not perform a Registration Update. This the UE’s context remains in the old AMF. </w:t>
      </w:r>
      <w:r w:rsidR="009F6577">
        <w:t>When there is a need for the network triggered service request, the old AMF will not be able to send the Paging message to the ne</w:t>
      </w:r>
      <w:r w:rsidR="00AF6820">
        <w:t xml:space="preserve">w IAB-donor then to the IAB node. It can cause the failure to the network triggered service request procedure. </w:t>
      </w:r>
      <w:r w:rsidR="00423910">
        <w:t xml:space="preserve"> </w:t>
      </w:r>
      <w:r>
        <w:t xml:space="preserve"> </w:t>
      </w:r>
      <w:r w:rsidR="00A25FC7">
        <w:t xml:space="preserve"> </w:t>
      </w:r>
    </w:p>
    <w:p w14:paraId="4243AB1F" w14:textId="77777777" w:rsidR="00EF61A3" w:rsidRDefault="00EF61A3" w:rsidP="00710FBB"/>
    <w:p w14:paraId="1A91FE06" w14:textId="0B8E588E" w:rsidR="00EF61A3" w:rsidRDefault="00EF61A3" w:rsidP="00710FBB">
      <w:r>
        <w:t xml:space="preserve">So Option 2 may only be used in a small area, e.g. when the mobile IAB only moves with the serving area of an AMF, and there is no forbidden area for the UE. </w:t>
      </w:r>
    </w:p>
    <w:p w14:paraId="53F717E3" w14:textId="77777777" w:rsidR="00EF61A3" w:rsidRDefault="00EF61A3" w:rsidP="00710FBB"/>
    <w:p w14:paraId="51DBC407" w14:textId="5DCB5239" w:rsidR="000C49C4" w:rsidRDefault="000C49C4" w:rsidP="00710FBB">
      <w:r w:rsidRPr="003A63F5">
        <w:t xml:space="preserve">There is no clear benefit for Option 2. We prefer Option 1 should be adopted. In case operator really want Option 2, we prefer Option 2 can be left to implementation and RAN3 should not </w:t>
      </w:r>
      <w:r w:rsidR="009D742E" w:rsidRPr="003A63F5">
        <w:t>develop any enhancement to support Option 2.</w:t>
      </w:r>
      <w:r w:rsidR="009D742E">
        <w:t xml:space="preserve"> </w:t>
      </w:r>
    </w:p>
    <w:p w14:paraId="2DE98B78" w14:textId="17E21CAA" w:rsidR="00F33906" w:rsidRDefault="00F33906" w:rsidP="00710FBB"/>
    <w:p w14:paraId="587274A8" w14:textId="7737549D" w:rsidR="006C7F01" w:rsidRDefault="006C7F01" w:rsidP="00710FBB">
      <w:pPr>
        <w:rPr>
          <w:b/>
          <w:bCs/>
        </w:rPr>
      </w:pPr>
      <w:r>
        <w:rPr>
          <w:b/>
          <w:bCs/>
        </w:rPr>
        <w:t xml:space="preserve">Proposal 4: </w:t>
      </w:r>
      <w:r w:rsidR="00EC64B1">
        <w:rPr>
          <w:b/>
          <w:bCs/>
        </w:rPr>
        <w:t>Adopt Option 1</w:t>
      </w:r>
    </w:p>
    <w:p w14:paraId="4356DE71" w14:textId="77777777" w:rsidR="00EC64B1" w:rsidRDefault="00EC64B1" w:rsidP="00EC64B1">
      <w:r>
        <w:t>-</w:t>
      </w:r>
      <w:r>
        <w:tab/>
        <w:t xml:space="preserve">Option 1: The TAC/RANAC for the mobile IAB cell can be changed in order to reflect the physical location when the mobile IAB-node moves. </w:t>
      </w:r>
    </w:p>
    <w:p w14:paraId="4AD38BED" w14:textId="77777777" w:rsidR="006C7F01" w:rsidRPr="006C7F01" w:rsidRDefault="006C7F01" w:rsidP="00710FBB">
      <w:pPr>
        <w:rPr>
          <w:b/>
          <w:bCs/>
        </w:rPr>
      </w:pPr>
    </w:p>
    <w:p w14:paraId="374D50FB" w14:textId="008C9E71" w:rsidR="00C7556E" w:rsidRDefault="00C7556E" w:rsidP="00C7556E">
      <w:pPr>
        <w:pStyle w:val="Heading1"/>
      </w:pPr>
      <w:r>
        <w:t>Conclusions</w:t>
      </w:r>
    </w:p>
    <w:p w14:paraId="158CB137" w14:textId="5E797D21" w:rsidR="006A66CF" w:rsidRDefault="006A66CF" w:rsidP="006A66CF">
      <w:pPr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analyzed </w:t>
      </w:r>
      <w:r>
        <w:rPr>
          <w:bCs/>
          <w:lang w:val="en-US"/>
        </w:rPr>
        <w:t xml:space="preserve">the potential mobility enhancements. </w:t>
      </w:r>
      <w:r w:rsidRPr="0087767E">
        <w:rPr>
          <w:bCs/>
          <w:lang w:val="en-US"/>
        </w:rPr>
        <w:t>Our proposals are:</w:t>
      </w:r>
    </w:p>
    <w:p w14:paraId="0F8B5E09" w14:textId="77777777" w:rsidR="00E038E0" w:rsidRDefault="00E038E0" w:rsidP="00E038E0">
      <w:pPr>
        <w:rPr>
          <w:b/>
          <w:bCs/>
        </w:rPr>
      </w:pPr>
      <w:r>
        <w:rPr>
          <w:b/>
          <w:bCs/>
        </w:rPr>
        <w:t xml:space="preserve">Observation 1: the co-located source DU and target DU can share the UE context/configuration related to RLC, MAC and PHY. </w:t>
      </w:r>
    </w:p>
    <w:p w14:paraId="70A33870" w14:textId="77777777" w:rsidR="00E038E0" w:rsidRDefault="00E038E0" w:rsidP="00E038E0">
      <w:pPr>
        <w:rPr>
          <w:b/>
          <w:bCs/>
        </w:rPr>
      </w:pPr>
      <w:r>
        <w:rPr>
          <w:b/>
          <w:bCs/>
        </w:rPr>
        <w:t xml:space="preserve">Proposal 1: RAN3 study the mobility enhancement to reduce signalling, considering the UE’s source DU and target DU are co-located. </w:t>
      </w:r>
    </w:p>
    <w:p w14:paraId="27002A94" w14:textId="77777777" w:rsidR="001917DC" w:rsidRDefault="001917DC" w:rsidP="001917DC">
      <w:pPr>
        <w:rPr>
          <w:b/>
          <w:bCs/>
        </w:rPr>
      </w:pPr>
    </w:p>
    <w:p w14:paraId="43F0241E" w14:textId="77777777" w:rsidR="00E038E0" w:rsidRDefault="00E038E0" w:rsidP="00E038E0">
      <w:pPr>
        <w:rPr>
          <w:b/>
          <w:bCs/>
        </w:rPr>
      </w:pPr>
      <w:r>
        <w:rPr>
          <w:b/>
          <w:bCs/>
        </w:rPr>
        <w:t xml:space="preserve">Observation 2: without the new </w:t>
      </w:r>
      <w:r w:rsidRPr="009F7E16">
        <w:rPr>
          <w:b/>
          <w:bCs/>
          <w:i/>
          <w:iCs/>
        </w:rPr>
        <w:t xml:space="preserve">Mobile IAB indication </w:t>
      </w:r>
      <w:r>
        <w:rPr>
          <w:b/>
          <w:bCs/>
        </w:rPr>
        <w:t xml:space="preserve">IE, target IAB-donor can still know the mobile IAB via the UE capability information. </w:t>
      </w:r>
    </w:p>
    <w:p w14:paraId="653E5411" w14:textId="77777777" w:rsidR="00E038E0" w:rsidRDefault="00E038E0" w:rsidP="00E038E0">
      <w:pPr>
        <w:rPr>
          <w:b/>
          <w:bCs/>
        </w:rPr>
      </w:pPr>
      <w:r>
        <w:rPr>
          <w:b/>
          <w:bCs/>
        </w:rPr>
        <w:t xml:space="preserve">Observation 3: introducing a redundant new </w:t>
      </w:r>
      <w:r w:rsidRPr="009F7E16">
        <w:rPr>
          <w:b/>
          <w:bCs/>
          <w:i/>
          <w:iCs/>
        </w:rPr>
        <w:t xml:space="preserve">Mobile IAB indication </w:t>
      </w:r>
      <w:r>
        <w:rPr>
          <w:b/>
          <w:bCs/>
        </w:rPr>
        <w:t xml:space="preserve">IE adds additional effort for implementation, e.g. new code/test for the new IE, and need to handle the abnormal condition when the new </w:t>
      </w:r>
      <w:r w:rsidRPr="009F7E16">
        <w:rPr>
          <w:b/>
          <w:bCs/>
          <w:i/>
          <w:iCs/>
        </w:rPr>
        <w:t xml:space="preserve">Mobile IAB indication </w:t>
      </w:r>
      <w:r>
        <w:rPr>
          <w:b/>
          <w:bCs/>
        </w:rPr>
        <w:t xml:space="preserve">IE is inconsistent with the UE capability information. </w:t>
      </w:r>
    </w:p>
    <w:p w14:paraId="673BE76F" w14:textId="77777777" w:rsidR="00E038E0" w:rsidRDefault="00E038E0" w:rsidP="00E038E0">
      <w:pPr>
        <w:rPr>
          <w:b/>
          <w:bCs/>
        </w:rPr>
      </w:pPr>
      <w:r w:rsidRPr="2565B615">
        <w:rPr>
          <w:b/>
          <w:bCs/>
        </w:rPr>
        <w:t xml:space="preserve">Proposal </w:t>
      </w:r>
      <w:r>
        <w:rPr>
          <w:b/>
          <w:bCs/>
        </w:rPr>
        <w:t>2</w:t>
      </w:r>
      <w:r w:rsidRPr="2565B615">
        <w:rPr>
          <w:b/>
          <w:bCs/>
        </w:rPr>
        <w:t xml:space="preserve">: </w:t>
      </w:r>
      <w:r>
        <w:rPr>
          <w:b/>
          <w:bCs/>
        </w:rPr>
        <w:t xml:space="preserve">there is no need to add explicit mobile IAB indication in the handover preparation message. </w:t>
      </w:r>
      <w:r w:rsidRPr="2565B615">
        <w:rPr>
          <w:b/>
          <w:bCs/>
        </w:rPr>
        <w:t xml:space="preserve"> </w:t>
      </w:r>
    </w:p>
    <w:p w14:paraId="1913CFB1" w14:textId="77777777" w:rsidR="00E038E0" w:rsidRDefault="00E038E0" w:rsidP="00E038E0">
      <w:pPr>
        <w:rPr>
          <w:b/>
          <w:bCs/>
        </w:rPr>
      </w:pPr>
    </w:p>
    <w:p w14:paraId="7989293F" w14:textId="0BB77BC4" w:rsidR="00E038E0" w:rsidRDefault="00E038E0" w:rsidP="00E038E0">
      <w:pPr>
        <w:rPr>
          <w:b/>
          <w:bCs/>
        </w:rPr>
      </w:pPr>
      <w:r w:rsidRPr="00253A69">
        <w:rPr>
          <w:b/>
          <w:bCs/>
        </w:rPr>
        <w:t xml:space="preserve">Observation </w:t>
      </w:r>
      <w:r>
        <w:rPr>
          <w:b/>
          <w:bCs/>
        </w:rPr>
        <w:t>4</w:t>
      </w:r>
      <w:r w:rsidRPr="00EB6312">
        <w:rPr>
          <w:b/>
          <w:bCs/>
        </w:rPr>
        <w:t>:</w:t>
      </w:r>
      <w:r>
        <w:rPr>
          <w:b/>
          <w:bCs/>
        </w:rPr>
        <w:t xml:space="preserve"> </w:t>
      </w:r>
      <w:r w:rsidRPr="00EB6312">
        <w:rPr>
          <w:b/>
          <w:bCs/>
        </w:rPr>
        <w:t>The current Cause values in XnAP Handover Preparation Failure do not allow the source donor to conclude that the target cell requested in Handover Request is a mobile-IAB cell.</w:t>
      </w:r>
    </w:p>
    <w:p w14:paraId="5BB26EDC" w14:textId="77777777" w:rsidR="0007409F" w:rsidRDefault="0007409F" w:rsidP="0007409F">
      <w:pPr>
        <w:rPr>
          <w:b/>
          <w:bCs/>
        </w:rPr>
      </w:pPr>
      <w:r w:rsidRPr="00253A69">
        <w:rPr>
          <w:b/>
          <w:bCs/>
        </w:rPr>
        <w:t xml:space="preserve">Proposal </w:t>
      </w:r>
      <w:r>
        <w:rPr>
          <w:b/>
          <w:bCs/>
        </w:rPr>
        <w:t>3</w:t>
      </w:r>
      <w:r w:rsidRPr="00EB6312">
        <w:rPr>
          <w:b/>
          <w:bCs/>
        </w:rPr>
        <w:t>:</w:t>
      </w:r>
      <w:r w:rsidRPr="00EB6312">
        <w:rPr>
          <w:b/>
          <w:bCs/>
        </w:rPr>
        <w:tab/>
        <w:t>RAN3 discuss the source donor should know about mobile-IAB cells under the target donor’s control to avoid, or minimize, Handover Requests for IAB nodes indicating a mobile-IAB cell as target cell.</w:t>
      </w:r>
    </w:p>
    <w:p w14:paraId="750E75D4" w14:textId="77777777" w:rsidR="0007409F" w:rsidRDefault="0007409F" w:rsidP="00E038E0">
      <w:pPr>
        <w:rPr>
          <w:b/>
          <w:bCs/>
        </w:rPr>
      </w:pPr>
    </w:p>
    <w:p w14:paraId="39B50EE7" w14:textId="48D38126" w:rsidR="00E038E0" w:rsidRDefault="00E038E0" w:rsidP="00E038E0">
      <w:pPr>
        <w:rPr>
          <w:b/>
          <w:bCs/>
        </w:rPr>
      </w:pPr>
      <w:r>
        <w:rPr>
          <w:b/>
          <w:bCs/>
        </w:rPr>
        <w:t>Proposal 4: Adopt Option 1</w:t>
      </w:r>
    </w:p>
    <w:p w14:paraId="72098909" w14:textId="77777777" w:rsidR="00E038E0" w:rsidRDefault="00E038E0" w:rsidP="00E038E0">
      <w:r>
        <w:t>-</w:t>
      </w:r>
      <w:r>
        <w:tab/>
        <w:t xml:space="preserve">Option 1: The TAC/RANAC for the mobile IAB cell can be changed in order to reflect the physical location when the mobile IAB-node moves. </w:t>
      </w:r>
    </w:p>
    <w:p w14:paraId="3162E341" w14:textId="77777777" w:rsidR="00E038E0" w:rsidRDefault="00E038E0" w:rsidP="001917DC">
      <w:pPr>
        <w:rPr>
          <w:b/>
          <w:bCs/>
        </w:rPr>
      </w:pPr>
    </w:p>
    <w:p w14:paraId="4D7B5678" w14:textId="77777777" w:rsidR="001917DC" w:rsidRDefault="001917DC" w:rsidP="006A66CF">
      <w:pPr>
        <w:rPr>
          <w:bCs/>
          <w:lang w:val="en-US"/>
        </w:rPr>
      </w:pPr>
    </w:p>
    <w:p w14:paraId="38EB08E5" w14:textId="77777777" w:rsidR="009443C0" w:rsidRDefault="009443C0" w:rsidP="009443C0">
      <w:pPr>
        <w:pStyle w:val="Heading1"/>
      </w:pPr>
      <w:r>
        <w:lastRenderedPageBreak/>
        <w:t>References</w:t>
      </w:r>
    </w:p>
    <w:p w14:paraId="272F60A9" w14:textId="08CCB1A8" w:rsidR="009443C0" w:rsidRDefault="00E86720" w:rsidP="009443C0">
      <w:pPr>
        <w:numPr>
          <w:ilvl w:val="0"/>
          <w:numId w:val="21"/>
        </w:numPr>
        <w:spacing w:after="180"/>
        <w:jc w:val="left"/>
      </w:pPr>
      <w:bookmarkStart w:id="2" w:name="_Ref110843185"/>
      <w:r w:rsidRPr="00E86720">
        <w:t>RP-221815</w:t>
      </w:r>
      <w:r>
        <w:t xml:space="preserve"> New </w:t>
      </w:r>
      <w:r w:rsidR="009443C0">
        <w:t>WID</w:t>
      </w:r>
      <w:r>
        <w:t xml:space="preserve"> on Mobile IAB</w:t>
      </w:r>
      <w:bookmarkEnd w:id="2"/>
    </w:p>
    <w:p w14:paraId="1B8AF0F2" w14:textId="640B4F26" w:rsidR="00CD0481" w:rsidRPr="00403B59" w:rsidRDefault="000B1582" w:rsidP="00CD0481">
      <w:pPr>
        <w:numPr>
          <w:ilvl w:val="0"/>
          <w:numId w:val="21"/>
        </w:numPr>
        <w:spacing w:after="180"/>
        <w:jc w:val="left"/>
      </w:pPr>
      <w:bookmarkStart w:id="3" w:name="_Ref110516435"/>
      <w:r w:rsidRPr="000B1582">
        <w:t xml:space="preserve">R3-225980, Summary of CB: # IAB3_MobEnh </w:t>
      </w:r>
      <w:bookmarkEnd w:id="3"/>
    </w:p>
    <w:p w14:paraId="3C4A479C" w14:textId="77777777" w:rsidR="00CD0481" w:rsidRDefault="00CD0481" w:rsidP="00CD0481">
      <w:pPr>
        <w:numPr>
          <w:ilvl w:val="0"/>
          <w:numId w:val="21"/>
        </w:numPr>
        <w:spacing w:after="180"/>
        <w:jc w:val="left"/>
        <w:rPr>
          <w:lang w:val="en-US"/>
        </w:rPr>
      </w:pPr>
      <w:r w:rsidRPr="003669D5">
        <w:rPr>
          <w:lang w:val="en-US"/>
        </w:rPr>
        <w:t xml:space="preserve">R3-206256 Inter-donor IAB-node migration </w:t>
      </w:r>
    </w:p>
    <w:sectPr w:rsidR="00CD0481" w:rsidSect="009443C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C6144" w14:textId="77777777" w:rsidR="00123DB9" w:rsidRDefault="00123DB9">
      <w:r>
        <w:separator/>
      </w:r>
    </w:p>
  </w:endnote>
  <w:endnote w:type="continuationSeparator" w:id="0">
    <w:p w14:paraId="6FA91C45" w14:textId="77777777" w:rsidR="00123DB9" w:rsidRDefault="00123DB9">
      <w:r>
        <w:continuationSeparator/>
      </w:r>
    </w:p>
  </w:endnote>
  <w:endnote w:type="continuationNotice" w:id="1">
    <w:p w14:paraId="533F3C31" w14:textId="77777777" w:rsidR="00123DB9" w:rsidRDefault="00123D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orBidi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E318A" w14:textId="77777777" w:rsidR="005B19D1" w:rsidRDefault="005B19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71382" w14:textId="77777777" w:rsidR="00F609E2" w:rsidRDefault="00F609E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7AF93" w14:textId="77777777" w:rsidR="005B19D1" w:rsidRDefault="005B19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3FF6F" w14:textId="77777777" w:rsidR="00123DB9" w:rsidRDefault="00123DB9">
      <w:r>
        <w:separator/>
      </w:r>
    </w:p>
  </w:footnote>
  <w:footnote w:type="continuationSeparator" w:id="0">
    <w:p w14:paraId="73676614" w14:textId="77777777" w:rsidR="00123DB9" w:rsidRDefault="00123DB9">
      <w:r>
        <w:continuationSeparator/>
      </w:r>
    </w:p>
  </w:footnote>
  <w:footnote w:type="continuationNotice" w:id="1">
    <w:p w14:paraId="5A6B3BC1" w14:textId="77777777" w:rsidR="00123DB9" w:rsidRDefault="00123D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A3B3C" w14:textId="77777777" w:rsidR="005B19D1" w:rsidRDefault="005B19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B34E9" w14:textId="77777777" w:rsidR="00F609E2" w:rsidRDefault="00F609E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C6D4E" w14:textId="77777777" w:rsidR="005B19D1" w:rsidRDefault="005B19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D3980D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01DCBAFA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36F4AD1"/>
    <w:multiLevelType w:val="hybridMultilevel"/>
    <w:tmpl w:val="B5924470"/>
    <w:lvl w:ilvl="0" w:tplc="46FCB5A2"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19DA6C82"/>
    <w:multiLevelType w:val="hybridMultilevel"/>
    <w:tmpl w:val="E8EC3312"/>
    <w:lvl w:ilvl="0" w:tplc="9D263EA6">
      <w:start w:val="15"/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1B7915B7"/>
    <w:multiLevelType w:val="hybridMultilevel"/>
    <w:tmpl w:val="939EA680"/>
    <w:lvl w:ilvl="0" w:tplc="78C6C4C0">
      <w:start w:val="2"/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1F604B06"/>
    <w:multiLevelType w:val="multilevel"/>
    <w:tmpl w:val="C076FE4C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1F6053F5"/>
    <w:multiLevelType w:val="hybridMultilevel"/>
    <w:tmpl w:val="E83E38D2"/>
    <w:lvl w:ilvl="0" w:tplc="BDFE2A08">
      <w:start w:val="8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9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C4279"/>
    <w:multiLevelType w:val="hybridMultilevel"/>
    <w:tmpl w:val="D7C8A29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7127A92"/>
    <w:multiLevelType w:val="hybridMultilevel"/>
    <w:tmpl w:val="1B9A38EC"/>
    <w:lvl w:ilvl="0" w:tplc="F16EB6D8"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F8576E"/>
    <w:multiLevelType w:val="hybridMultilevel"/>
    <w:tmpl w:val="186EA648"/>
    <w:lvl w:ilvl="0" w:tplc="711465C2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楷体_GB2312" w:hAnsi="楷体_GB2312" w:cs="楷体_GB2312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4" w15:restartNumberingAfterBreak="0">
    <w:nsid w:val="55D47E7B"/>
    <w:multiLevelType w:val="multilevel"/>
    <w:tmpl w:val="5FCEE0E0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7F771E"/>
    <w:multiLevelType w:val="hybridMultilevel"/>
    <w:tmpl w:val="BD700DD4"/>
    <w:lvl w:ilvl="0" w:tplc="F45882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6140C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AA48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C26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0D9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0CA6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F487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D260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4414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hybridMultilevel"/>
    <w:tmpl w:val="BAACF9BE"/>
    <w:lvl w:ilvl="0" w:tplc="D97C101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A7688DA">
      <w:numFmt w:val="decimal"/>
      <w:lvlText w:val=""/>
      <w:lvlJc w:val="left"/>
    </w:lvl>
    <w:lvl w:ilvl="2" w:tplc="AD3A3F44">
      <w:numFmt w:val="decimal"/>
      <w:lvlText w:val=""/>
      <w:lvlJc w:val="left"/>
    </w:lvl>
    <w:lvl w:ilvl="3" w:tplc="73D2B2D2">
      <w:numFmt w:val="decimal"/>
      <w:lvlText w:val=""/>
      <w:lvlJc w:val="left"/>
    </w:lvl>
    <w:lvl w:ilvl="4" w:tplc="D172BFCC">
      <w:numFmt w:val="decimal"/>
      <w:lvlText w:val=""/>
      <w:lvlJc w:val="left"/>
    </w:lvl>
    <w:lvl w:ilvl="5" w:tplc="6672ABA0">
      <w:numFmt w:val="decimal"/>
      <w:lvlText w:val=""/>
      <w:lvlJc w:val="left"/>
    </w:lvl>
    <w:lvl w:ilvl="6" w:tplc="C3C4EB4C">
      <w:numFmt w:val="decimal"/>
      <w:lvlText w:val=""/>
      <w:lvlJc w:val="left"/>
    </w:lvl>
    <w:lvl w:ilvl="7" w:tplc="4BDED1C8">
      <w:numFmt w:val="decimal"/>
      <w:lvlText w:val=""/>
      <w:lvlJc w:val="left"/>
    </w:lvl>
    <w:lvl w:ilvl="8" w:tplc="81A8AC38">
      <w:numFmt w:val="decimal"/>
      <w:lvlText w:val=""/>
      <w:lvlJc w:val="left"/>
    </w:lvl>
  </w:abstractNum>
  <w:abstractNum w:abstractNumId="28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1634C7"/>
    <w:multiLevelType w:val="hybridMultilevel"/>
    <w:tmpl w:val="DAB848A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4266FB"/>
    <w:multiLevelType w:val="multilevel"/>
    <w:tmpl w:val="06506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BC5E52"/>
    <w:multiLevelType w:val="hybridMultilevel"/>
    <w:tmpl w:val="98B6ED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657143"/>
    <w:multiLevelType w:val="hybridMultilevel"/>
    <w:tmpl w:val="A99C669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E0F79"/>
    <w:multiLevelType w:val="multilevel"/>
    <w:tmpl w:val="9502043A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3429B6"/>
    <w:multiLevelType w:val="hybridMultilevel"/>
    <w:tmpl w:val="4FC6F54A"/>
    <w:lvl w:ilvl="0" w:tplc="565A4D6A">
      <w:start w:val="10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0"/>
  </w:num>
  <w:num w:numId="3">
    <w:abstractNumId w:val="20"/>
  </w:num>
  <w:num w:numId="4">
    <w:abstractNumId w:val="16"/>
  </w:num>
  <w:num w:numId="5">
    <w:abstractNumId w:val="17"/>
  </w:num>
  <w:num w:numId="6">
    <w:abstractNumId w:val="11"/>
  </w:num>
  <w:num w:numId="7">
    <w:abstractNumId w:val="19"/>
  </w:num>
  <w:num w:numId="8">
    <w:abstractNumId w:val="25"/>
  </w:num>
  <w:num w:numId="9">
    <w:abstractNumId w:val="12"/>
  </w:num>
  <w:num w:numId="10">
    <w:abstractNumId w:val="21"/>
  </w:num>
  <w:num w:numId="11">
    <w:abstractNumId w:val="27"/>
  </w:num>
  <w:num w:numId="12">
    <w:abstractNumId w:val="36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7"/>
  </w:num>
  <w:num w:numId="18">
    <w:abstractNumId w:val="24"/>
  </w:num>
  <w:num w:numId="19">
    <w:abstractNumId w:val="35"/>
  </w:num>
  <w:num w:numId="20">
    <w:abstractNumId w:val="10"/>
  </w:num>
  <w:num w:numId="21">
    <w:abstractNumId w:val="1"/>
  </w:num>
  <w:num w:numId="22">
    <w:abstractNumId w:val="22"/>
    <w:lvlOverride w:ilvl="0">
      <w:startOverride w:val="1"/>
    </w:lvlOverride>
  </w:num>
  <w:num w:numId="23">
    <w:abstractNumId w:val="2"/>
  </w:num>
  <w:num w:numId="24">
    <w:abstractNumId w:val="8"/>
  </w:num>
  <w:num w:numId="25">
    <w:abstractNumId w:val="4"/>
  </w:num>
  <w:num w:numId="26">
    <w:abstractNumId w:val="15"/>
  </w:num>
  <w:num w:numId="27">
    <w:abstractNumId w:val="28"/>
  </w:num>
  <w:num w:numId="28">
    <w:abstractNumId w:val="31"/>
  </w:num>
  <w:num w:numId="29">
    <w:abstractNumId w:val="13"/>
  </w:num>
  <w:num w:numId="30">
    <w:abstractNumId w:val="29"/>
  </w:num>
  <w:num w:numId="31">
    <w:abstractNumId w:val="34"/>
  </w:num>
  <w:num w:numId="32">
    <w:abstractNumId w:val="32"/>
  </w:num>
  <w:num w:numId="33">
    <w:abstractNumId w:val="6"/>
  </w:num>
  <w:num w:numId="34">
    <w:abstractNumId w:val="9"/>
  </w:num>
  <w:num w:numId="35">
    <w:abstractNumId w:val="5"/>
  </w:num>
  <w:num w:numId="36">
    <w:abstractNumId w:val="18"/>
  </w:num>
  <w:num w:numId="37">
    <w:abstractNumId w:val="37"/>
  </w:num>
  <w:num w:numId="38">
    <w:abstractNumId w:val="3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1A9"/>
    <w:rsid w:val="00001A30"/>
    <w:rsid w:val="00001D75"/>
    <w:rsid w:val="00002A37"/>
    <w:rsid w:val="00002BEA"/>
    <w:rsid w:val="00003047"/>
    <w:rsid w:val="0000324D"/>
    <w:rsid w:val="00003AB7"/>
    <w:rsid w:val="00005436"/>
    <w:rsid w:val="0000550E"/>
    <w:rsid w:val="00006446"/>
    <w:rsid w:val="0000644B"/>
    <w:rsid w:val="00006896"/>
    <w:rsid w:val="00006B58"/>
    <w:rsid w:val="00006EF6"/>
    <w:rsid w:val="0000769D"/>
    <w:rsid w:val="00007CDC"/>
    <w:rsid w:val="00007DB9"/>
    <w:rsid w:val="00010E26"/>
    <w:rsid w:val="00011011"/>
    <w:rsid w:val="0001132D"/>
    <w:rsid w:val="00011B28"/>
    <w:rsid w:val="00011CA9"/>
    <w:rsid w:val="00011CAD"/>
    <w:rsid w:val="00012C3B"/>
    <w:rsid w:val="00013095"/>
    <w:rsid w:val="000135E0"/>
    <w:rsid w:val="00014370"/>
    <w:rsid w:val="00014C3B"/>
    <w:rsid w:val="00014CC2"/>
    <w:rsid w:val="00015BE3"/>
    <w:rsid w:val="00015D15"/>
    <w:rsid w:val="000163D0"/>
    <w:rsid w:val="00016911"/>
    <w:rsid w:val="00017038"/>
    <w:rsid w:val="000179D1"/>
    <w:rsid w:val="000200F0"/>
    <w:rsid w:val="0002061C"/>
    <w:rsid w:val="0002084C"/>
    <w:rsid w:val="000212A2"/>
    <w:rsid w:val="00021FEB"/>
    <w:rsid w:val="00022116"/>
    <w:rsid w:val="000226EB"/>
    <w:rsid w:val="000229C4"/>
    <w:rsid w:val="00022DA7"/>
    <w:rsid w:val="000238DA"/>
    <w:rsid w:val="000243BC"/>
    <w:rsid w:val="000244B4"/>
    <w:rsid w:val="000247D1"/>
    <w:rsid w:val="00024CF8"/>
    <w:rsid w:val="00025213"/>
    <w:rsid w:val="00025301"/>
    <w:rsid w:val="00025408"/>
    <w:rsid w:val="0002564D"/>
    <w:rsid w:val="00025ECA"/>
    <w:rsid w:val="0002600C"/>
    <w:rsid w:val="00027939"/>
    <w:rsid w:val="000302A3"/>
    <w:rsid w:val="0003063B"/>
    <w:rsid w:val="00031C90"/>
    <w:rsid w:val="000325B8"/>
    <w:rsid w:val="00033087"/>
    <w:rsid w:val="0003369F"/>
    <w:rsid w:val="00033EC4"/>
    <w:rsid w:val="0003498D"/>
    <w:rsid w:val="00034C15"/>
    <w:rsid w:val="00035648"/>
    <w:rsid w:val="0003568B"/>
    <w:rsid w:val="0003587C"/>
    <w:rsid w:val="00036318"/>
    <w:rsid w:val="0003689A"/>
    <w:rsid w:val="00036BA1"/>
    <w:rsid w:val="00036BC6"/>
    <w:rsid w:val="0003719B"/>
    <w:rsid w:val="00041145"/>
    <w:rsid w:val="00041DE7"/>
    <w:rsid w:val="000422E2"/>
    <w:rsid w:val="00042A09"/>
    <w:rsid w:val="00042F22"/>
    <w:rsid w:val="0004367E"/>
    <w:rsid w:val="0004377C"/>
    <w:rsid w:val="00044224"/>
    <w:rsid w:val="000444EF"/>
    <w:rsid w:val="00044B65"/>
    <w:rsid w:val="000461C1"/>
    <w:rsid w:val="000474B3"/>
    <w:rsid w:val="000503B8"/>
    <w:rsid w:val="000505C9"/>
    <w:rsid w:val="000509BB"/>
    <w:rsid w:val="0005153D"/>
    <w:rsid w:val="00051FB9"/>
    <w:rsid w:val="00052155"/>
    <w:rsid w:val="00052A07"/>
    <w:rsid w:val="00052AC2"/>
    <w:rsid w:val="000534E3"/>
    <w:rsid w:val="00053EF3"/>
    <w:rsid w:val="00054CCF"/>
    <w:rsid w:val="00055DBC"/>
    <w:rsid w:val="00056033"/>
    <w:rsid w:val="0005606A"/>
    <w:rsid w:val="000564E8"/>
    <w:rsid w:val="000567EE"/>
    <w:rsid w:val="00057025"/>
    <w:rsid w:val="00057117"/>
    <w:rsid w:val="00057B56"/>
    <w:rsid w:val="00057CF8"/>
    <w:rsid w:val="000604AA"/>
    <w:rsid w:val="000609D0"/>
    <w:rsid w:val="00060CD4"/>
    <w:rsid w:val="0006152B"/>
    <w:rsid w:val="000616E7"/>
    <w:rsid w:val="00061F95"/>
    <w:rsid w:val="000633A1"/>
    <w:rsid w:val="000634B6"/>
    <w:rsid w:val="000638FF"/>
    <w:rsid w:val="000644BD"/>
    <w:rsid w:val="000646B2"/>
    <w:rsid w:val="0006487E"/>
    <w:rsid w:val="00064BD5"/>
    <w:rsid w:val="00065184"/>
    <w:rsid w:val="00065809"/>
    <w:rsid w:val="000659CB"/>
    <w:rsid w:val="00065E1A"/>
    <w:rsid w:val="00067574"/>
    <w:rsid w:val="00067877"/>
    <w:rsid w:val="000717DA"/>
    <w:rsid w:val="00071A1C"/>
    <w:rsid w:val="000724ED"/>
    <w:rsid w:val="00072765"/>
    <w:rsid w:val="0007278E"/>
    <w:rsid w:val="000738B3"/>
    <w:rsid w:val="00073E11"/>
    <w:rsid w:val="00073F8D"/>
    <w:rsid w:val="0007409F"/>
    <w:rsid w:val="0007519E"/>
    <w:rsid w:val="00076014"/>
    <w:rsid w:val="0007608F"/>
    <w:rsid w:val="0007615C"/>
    <w:rsid w:val="00077E5F"/>
    <w:rsid w:val="0008036A"/>
    <w:rsid w:val="00081242"/>
    <w:rsid w:val="00081AE6"/>
    <w:rsid w:val="00082443"/>
    <w:rsid w:val="00082E89"/>
    <w:rsid w:val="00083749"/>
    <w:rsid w:val="00083BA1"/>
    <w:rsid w:val="00084694"/>
    <w:rsid w:val="000846C8"/>
    <w:rsid w:val="000846E0"/>
    <w:rsid w:val="000855EB"/>
    <w:rsid w:val="00085B52"/>
    <w:rsid w:val="00085C30"/>
    <w:rsid w:val="00086183"/>
    <w:rsid w:val="000866F2"/>
    <w:rsid w:val="000869A1"/>
    <w:rsid w:val="00086BB7"/>
    <w:rsid w:val="0009009F"/>
    <w:rsid w:val="0009154C"/>
    <w:rsid w:val="00091557"/>
    <w:rsid w:val="0009163D"/>
    <w:rsid w:val="000917C0"/>
    <w:rsid w:val="00092207"/>
    <w:rsid w:val="00092274"/>
    <w:rsid w:val="00092484"/>
    <w:rsid w:val="000924C1"/>
    <w:rsid w:val="000924F0"/>
    <w:rsid w:val="00092BAB"/>
    <w:rsid w:val="00093474"/>
    <w:rsid w:val="00093942"/>
    <w:rsid w:val="000943B7"/>
    <w:rsid w:val="0009482C"/>
    <w:rsid w:val="0009510F"/>
    <w:rsid w:val="0009566A"/>
    <w:rsid w:val="000956ED"/>
    <w:rsid w:val="000960E0"/>
    <w:rsid w:val="000966F4"/>
    <w:rsid w:val="00096D41"/>
    <w:rsid w:val="00096DD6"/>
    <w:rsid w:val="000970CA"/>
    <w:rsid w:val="00097AAF"/>
    <w:rsid w:val="000A07F6"/>
    <w:rsid w:val="000A0AC7"/>
    <w:rsid w:val="000A17FA"/>
    <w:rsid w:val="000A1AF5"/>
    <w:rsid w:val="000A1AFF"/>
    <w:rsid w:val="000A1B7B"/>
    <w:rsid w:val="000A209B"/>
    <w:rsid w:val="000A2772"/>
    <w:rsid w:val="000A2B96"/>
    <w:rsid w:val="000A32DC"/>
    <w:rsid w:val="000A389B"/>
    <w:rsid w:val="000A4941"/>
    <w:rsid w:val="000A56F2"/>
    <w:rsid w:val="000A5FA7"/>
    <w:rsid w:val="000A6188"/>
    <w:rsid w:val="000A6974"/>
    <w:rsid w:val="000A6EB8"/>
    <w:rsid w:val="000A72D6"/>
    <w:rsid w:val="000B0146"/>
    <w:rsid w:val="000B1582"/>
    <w:rsid w:val="000B1A38"/>
    <w:rsid w:val="000B1D66"/>
    <w:rsid w:val="000B2719"/>
    <w:rsid w:val="000B2D69"/>
    <w:rsid w:val="000B3A8F"/>
    <w:rsid w:val="000B3B00"/>
    <w:rsid w:val="000B439E"/>
    <w:rsid w:val="000B4AB9"/>
    <w:rsid w:val="000B58C3"/>
    <w:rsid w:val="000B5CD3"/>
    <w:rsid w:val="000B61E9"/>
    <w:rsid w:val="000B6506"/>
    <w:rsid w:val="000B6A52"/>
    <w:rsid w:val="000B6CF7"/>
    <w:rsid w:val="000B7D92"/>
    <w:rsid w:val="000C07D6"/>
    <w:rsid w:val="000C11A3"/>
    <w:rsid w:val="000C1284"/>
    <w:rsid w:val="000C165A"/>
    <w:rsid w:val="000C27DA"/>
    <w:rsid w:val="000C2E19"/>
    <w:rsid w:val="000C2FB4"/>
    <w:rsid w:val="000C3249"/>
    <w:rsid w:val="000C37CD"/>
    <w:rsid w:val="000C483D"/>
    <w:rsid w:val="000C49C4"/>
    <w:rsid w:val="000C51D9"/>
    <w:rsid w:val="000C715F"/>
    <w:rsid w:val="000C7870"/>
    <w:rsid w:val="000D019C"/>
    <w:rsid w:val="000D03D3"/>
    <w:rsid w:val="000D0488"/>
    <w:rsid w:val="000D0D07"/>
    <w:rsid w:val="000D134D"/>
    <w:rsid w:val="000D1B88"/>
    <w:rsid w:val="000D22EF"/>
    <w:rsid w:val="000D2367"/>
    <w:rsid w:val="000D2369"/>
    <w:rsid w:val="000D274F"/>
    <w:rsid w:val="000D320E"/>
    <w:rsid w:val="000D396B"/>
    <w:rsid w:val="000D40F5"/>
    <w:rsid w:val="000D40F8"/>
    <w:rsid w:val="000D4312"/>
    <w:rsid w:val="000D4797"/>
    <w:rsid w:val="000D4A93"/>
    <w:rsid w:val="000D4C42"/>
    <w:rsid w:val="000D51FB"/>
    <w:rsid w:val="000D5249"/>
    <w:rsid w:val="000D55EB"/>
    <w:rsid w:val="000D6862"/>
    <w:rsid w:val="000E01C6"/>
    <w:rsid w:val="000E02D2"/>
    <w:rsid w:val="000E0527"/>
    <w:rsid w:val="000E18BD"/>
    <w:rsid w:val="000E1E92"/>
    <w:rsid w:val="000E1F63"/>
    <w:rsid w:val="000E212C"/>
    <w:rsid w:val="000E2420"/>
    <w:rsid w:val="000E291B"/>
    <w:rsid w:val="000E2C4D"/>
    <w:rsid w:val="000E3476"/>
    <w:rsid w:val="000E39E6"/>
    <w:rsid w:val="000E3DB8"/>
    <w:rsid w:val="000E3DEC"/>
    <w:rsid w:val="000E4B95"/>
    <w:rsid w:val="000E5954"/>
    <w:rsid w:val="000E6754"/>
    <w:rsid w:val="000F064C"/>
    <w:rsid w:val="000F06D6"/>
    <w:rsid w:val="000F0EB1"/>
    <w:rsid w:val="000F1106"/>
    <w:rsid w:val="000F142C"/>
    <w:rsid w:val="000F184D"/>
    <w:rsid w:val="000F1873"/>
    <w:rsid w:val="000F26B2"/>
    <w:rsid w:val="000F2B38"/>
    <w:rsid w:val="000F3A6B"/>
    <w:rsid w:val="000F3BE9"/>
    <w:rsid w:val="000F3F6C"/>
    <w:rsid w:val="000F496D"/>
    <w:rsid w:val="000F5EBF"/>
    <w:rsid w:val="000F654E"/>
    <w:rsid w:val="000F6743"/>
    <w:rsid w:val="000F6DF3"/>
    <w:rsid w:val="000F79FD"/>
    <w:rsid w:val="000F7B77"/>
    <w:rsid w:val="0010032E"/>
    <w:rsid w:val="001005FF"/>
    <w:rsid w:val="001006AC"/>
    <w:rsid w:val="001007F2"/>
    <w:rsid w:val="001018D2"/>
    <w:rsid w:val="00101976"/>
    <w:rsid w:val="00101ECD"/>
    <w:rsid w:val="00102669"/>
    <w:rsid w:val="00102D88"/>
    <w:rsid w:val="001033B5"/>
    <w:rsid w:val="001039E8"/>
    <w:rsid w:val="00103FF4"/>
    <w:rsid w:val="00104334"/>
    <w:rsid w:val="00104E1C"/>
    <w:rsid w:val="001051DE"/>
    <w:rsid w:val="00105AC3"/>
    <w:rsid w:val="0010616B"/>
    <w:rsid w:val="001062FB"/>
    <w:rsid w:val="001063E6"/>
    <w:rsid w:val="00106D7A"/>
    <w:rsid w:val="0010765A"/>
    <w:rsid w:val="00107E54"/>
    <w:rsid w:val="00112540"/>
    <w:rsid w:val="0011264D"/>
    <w:rsid w:val="00112FE9"/>
    <w:rsid w:val="00113CF4"/>
    <w:rsid w:val="001152F0"/>
    <w:rsid w:val="001153EA"/>
    <w:rsid w:val="00115643"/>
    <w:rsid w:val="001158C0"/>
    <w:rsid w:val="00115FDF"/>
    <w:rsid w:val="00116765"/>
    <w:rsid w:val="00116FCC"/>
    <w:rsid w:val="001174BA"/>
    <w:rsid w:val="001200DA"/>
    <w:rsid w:val="00120936"/>
    <w:rsid w:val="001219F5"/>
    <w:rsid w:val="00121A20"/>
    <w:rsid w:val="00121AE1"/>
    <w:rsid w:val="00121B0B"/>
    <w:rsid w:val="00122574"/>
    <w:rsid w:val="001226EF"/>
    <w:rsid w:val="0012298D"/>
    <w:rsid w:val="00122F2E"/>
    <w:rsid w:val="00123033"/>
    <w:rsid w:val="0012333A"/>
    <w:rsid w:val="0012377F"/>
    <w:rsid w:val="00123DB9"/>
    <w:rsid w:val="00124314"/>
    <w:rsid w:val="001246A6"/>
    <w:rsid w:val="00125079"/>
    <w:rsid w:val="001255DA"/>
    <w:rsid w:val="001257C7"/>
    <w:rsid w:val="00126896"/>
    <w:rsid w:val="00126B4A"/>
    <w:rsid w:val="00127020"/>
    <w:rsid w:val="001303E3"/>
    <w:rsid w:val="00131695"/>
    <w:rsid w:val="001318B5"/>
    <w:rsid w:val="00131ABE"/>
    <w:rsid w:val="00132FD0"/>
    <w:rsid w:val="00133226"/>
    <w:rsid w:val="00133931"/>
    <w:rsid w:val="00133FC3"/>
    <w:rsid w:val="00134192"/>
    <w:rsid w:val="001344C0"/>
    <w:rsid w:val="001346FA"/>
    <w:rsid w:val="00135252"/>
    <w:rsid w:val="0013711E"/>
    <w:rsid w:val="001372E2"/>
    <w:rsid w:val="00137482"/>
    <w:rsid w:val="001376E1"/>
    <w:rsid w:val="00137A17"/>
    <w:rsid w:val="00137AB5"/>
    <w:rsid w:val="00137CC8"/>
    <w:rsid w:val="00137F0B"/>
    <w:rsid w:val="00140BAF"/>
    <w:rsid w:val="00141071"/>
    <w:rsid w:val="00141236"/>
    <w:rsid w:val="00141EE8"/>
    <w:rsid w:val="00142015"/>
    <w:rsid w:val="00142718"/>
    <w:rsid w:val="00143B3A"/>
    <w:rsid w:val="00143F37"/>
    <w:rsid w:val="00144798"/>
    <w:rsid w:val="00144BE6"/>
    <w:rsid w:val="001457F5"/>
    <w:rsid w:val="00145A01"/>
    <w:rsid w:val="00146998"/>
    <w:rsid w:val="001503AE"/>
    <w:rsid w:val="00150E1D"/>
    <w:rsid w:val="001510AB"/>
    <w:rsid w:val="00151E23"/>
    <w:rsid w:val="001526E0"/>
    <w:rsid w:val="001536DF"/>
    <w:rsid w:val="00153AB4"/>
    <w:rsid w:val="00153B39"/>
    <w:rsid w:val="001541A3"/>
    <w:rsid w:val="0015490C"/>
    <w:rsid w:val="00154AF1"/>
    <w:rsid w:val="00154D2B"/>
    <w:rsid w:val="00155096"/>
    <w:rsid w:val="001551B5"/>
    <w:rsid w:val="001558FD"/>
    <w:rsid w:val="00155B60"/>
    <w:rsid w:val="00155C2B"/>
    <w:rsid w:val="00155EF4"/>
    <w:rsid w:val="001565BA"/>
    <w:rsid w:val="00156808"/>
    <w:rsid w:val="00156E4A"/>
    <w:rsid w:val="00157C31"/>
    <w:rsid w:val="00160D04"/>
    <w:rsid w:val="00160E23"/>
    <w:rsid w:val="00162072"/>
    <w:rsid w:val="00162083"/>
    <w:rsid w:val="00162155"/>
    <w:rsid w:val="001622BB"/>
    <w:rsid w:val="00162E55"/>
    <w:rsid w:val="00163A60"/>
    <w:rsid w:val="001640AA"/>
    <w:rsid w:val="001643A8"/>
    <w:rsid w:val="00164F01"/>
    <w:rsid w:val="001659C1"/>
    <w:rsid w:val="00165E07"/>
    <w:rsid w:val="00166A1C"/>
    <w:rsid w:val="00166C4F"/>
    <w:rsid w:val="001671F4"/>
    <w:rsid w:val="001671FD"/>
    <w:rsid w:val="00167BF3"/>
    <w:rsid w:val="00170067"/>
    <w:rsid w:val="00170261"/>
    <w:rsid w:val="0017045C"/>
    <w:rsid w:val="001705D8"/>
    <w:rsid w:val="00170F9F"/>
    <w:rsid w:val="00171103"/>
    <w:rsid w:val="001712FF"/>
    <w:rsid w:val="001718EC"/>
    <w:rsid w:val="00172CF8"/>
    <w:rsid w:val="001732EB"/>
    <w:rsid w:val="00173A8E"/>
    <w:rsid w:val="001740A8"/>
    <w:rsid w:val="001741AA"/>
    <w:rsid w:val="00175FDF"/>
    <w:rsid w:val="00176CAD"/>
    <w:rsid w:val="00176F67"/>
    <w:rsid w:val="00177795"/>
    <w:rsid w:val="00180357"/>
    <w:rsid w:val="00180989"/>
    <w:rsid w:val="0018143F"/>
    <w:rsid w:val="0018215E"/>
    <w:rsid w:val="00182595"/>
    <w:rsid w:val="00182FC8"/>
    <w:rsid w:val="001832CC"/>
    <w:rsid w:val="001842B6"/>
    <w:rsid w:val="00185567"/>
    <w:rsid w:val="001858ED"/>
    <w:rsid w:val="00185C8D"/>
    <w:rsid w:val="00186DB0"/>
    <w:rsid w:val="00187C69"/>
    <w:rsid w:val="0019048F"/>
    <w:rsid w:val="00190AC1"/>
    <w:rsid w:val="001917DC"/>
    <w:rsid w:val="00192200"/>
    <w:rsid w:val="00192750"/>
    <w:rsid w:val="00192D7C"/>
    <w:rsid w:val="00193414"/>
    <w:rsid w:val="0019341A"/>
    <w:rsid w:val="00193F11"/>
    <w:rsid w:val="00193F1B"/>
    <w:rsid w:val="00194AAD"/>
    <w:rsid w:val="00194F3B"/>
    <w:rsid w:val="00195A0E"/>
    <w:rsid w:val="0019658B"/>
    <w:rsid w:val="00196ADF"/>
    <w:rsid w:val="00196B71"/>
    <w:rsid w:val="00196D8E"/>
    <w:rsid w:val="00196FC4"/>
    <w:rsid w:val="00197D7A"/>
    <w:rsid w:val="00197DF9"/>
    <w:rsid w:val="00197F2C"/>
    <w:rsid w:val="001A0BBB"/>
    <w:rsid w:val="001A1192"/>
    <w:rsid w:val="001A1475"/>
    <w:rsid w:val="001A1987"/>
    <w:rsid w:val="001A2564"/>
    <w:rsid w:val="001A335C"/>
    <w:rsid w:val="001A37E4"/>
    <w:rsid w:val="001A3E52"/>
    <w:rsid w:val="001A409A"/>
    <w:rsid w:val="001A418E"/>
    <w:rsid w:val="001A6173"/>
    <w:rsid w:val="001A61C9"/>
    <w:rsid w:val="001A6CBA"/>
    <w:rsid w:val="001A6D54"/>
    <w:rsid w:val="001A7BFD"/>
    <w:rsid w:val="001A7F8F"/>
    <w:rsid w:val="001B0B5F"/>
    <w:rsid w:val="001B0D97"/>
    <w:rsid w:val="001B11C4"/>
    <w:rsid w:val="001B14BE"/>
    <w:rsid w:val="001B20C7"/>
    <w:rsid w:val="001B2911"/>
    <w:rsid w:val="001B2ACE"/>
    <w:rsid w:val="001B3240"/>
    <w:rsid w:val="001B3A4F"/>
    <w:rsid w:val="001B3DD5"/>
    <w:rsid w:val="001B4F9C"/>
    <w:rsid w:val="001B556C"/>
    <w:rsid w:val="001B5A5D"/>
    <w:rsid w:val="001B5B14"/>
    <w:rsid w:val="001B5D23"/>
    <w:rsid w:val="001B6681"/>
    <w:rsid w:val="001B77D0"/>
    <w:rsid w:val="001B798A"/>
    <w:rsid w:val="001B7A2B"/>
    <w:rsid w:val="001C00C9"/>
    <w:rsid w:val="001C0E5A"/>
    <w:rsid w:val="001C102D"/>
    <w:rsid w:val="001C1473"/>
    <w:rsid w:val="001C1692"/>
    <w:rsid w:val="001C1CE5"/>
    <w:rsid w:val="001C2556"/>
    <w:rsid w:val="001C3D2A"/>
    <w:rsid w:val="001C567D"/>
    <w:rsid w:val="001C576A"/>
    <w:rsid w:val="001C6495"/>
    <w:rsid w:val="001C736D"/>
    <w:rsid w:val="001C760C"/>
    <w:rsid w:val="001C793C"/>
    <w:rsid w:val="001C7C80"/>
    <w:rsid w:val="001C7F15"/>
    <w:rsid w:val="001D059E"/>
    <w:rsid w:val="001D1542"/>
    <w:rsid w:val="001D1AC2"/>
    <w:rsid w:val="001D1F25"/>
    <w:rsid w:val="001D21C4"/>
    <w:rsid w:val="001D23A1"/>
    <w:rsid w:val="001D333A"/>
    <w:rsid w:val="001D3410"/>
    <w:rsid w:val="001D35DD"/>
    <w:rsid w:val="001D3DB4"/>
    <w:rsid w:val="001D3F23"/>
    <w:rsid w:val="001D5012"/>
    <w:rsid w:val="001D51BA"/>
    <w:rsid w:val="001D6342"/>
    <w:rsid w:val="001D6D53"/>
    <w:rsid w:val="001D7361"/>
    <w:rsid w:val="001D76CC"/>
    <w:rsid w:val="001D774B"/>
    <w:rsid w:val="001E084C"/>
    <w:rsid w:val="001E16F8"/>
    <w:rsid w:val="001E1D1B"/>
    <w:rsid w:val="001E2F5F"/>
    <w:rsid w:val="001E305E"/>
    <w:rsid w:val="001E330A"/>
    <w:rsid w:val="001E372E"/>
    <w:rsid w:val="001E3BDB"/>
    <w:rsid w:val="001E4110"/>
    <w:rsid w:val="001E4BF0"/>
    <w:rsid w:val="001E50B7"/>
    <w:rsid w:val="001E542A"/>
    <w:rsid w:val="001E58E2"/>
    <w:rsid w:val="001E59DA"/>
    <w:rsid w:val="001E5C7A"/>
    <w:rsid w:val="001E647F"/>
    <w:rsid w:val="001E6DEB"/>
    <w:rsid w:val="001E6F78"/>
    <w:rsid w:val="001E7AED"/>
    <w:rsid w:val="001F08A2"/>
    <w:rsid w:val="001F08EF"/>
    <w:rsid w:val="001F12D7"/>
    <w:rsid w:val="001F1D1E"/>
    <w:rsid w:val="001F2204"/>
    <w:rsid w:val="001F29B5"/>
    <w:rsid w:val="001F338B"/>
    <w:rsid w:val="001F3916"/>
    <w:rsid w:val="001F3E5B"/>
    <w:rsid w:val="001F54C5"/>
    <w:rsid w:val="001F5D84"/>
    <w:rsid w:val="001F662C"/>
    <w:rsid w:val="001F7074"/>
    <w:rsid w:val="001F7D18"/>
    <w:rsid w:val="001F7D47"/>
    <w:rsid w:val="00200114"/>
    <w:rsid w:val="00200490"/>
    <w:rsid w:val="00200F06"/>
    <w:rsid w:val="00201B0E"/>
    <w:rsid w:val="00201ED6"/>
    <w:rsid w:val="00201F3A"/>
    <w:rsid w:val="00202287"/>
    <w:rsid w:val="0020259B"/>
    <w:rsid w:val="002027E4"/>
    <w:rsid w:val="00203F96"/>
    <w:rsid w:val="002045B5"/>
    <w:rsid w:val="00204794"/>
    <w:rsid w:val="002048BF"/>
    <w:rsid w:val="00204CF8"/>
    <w:rsid w:val="00205CF2"/>
    <w:rsid w:val="00205F78"/>
    <w:rsid w:val="002069B2"/>
    <w:rsid w:val="00206A93"/>
    <w:rsid w:val="00206D22"/>
    <w:rsid w:val="00207480"/>
    <w:rsid w:val="00207C49"/>
    <w:rsid w:val="00207FA3"/>
    <w:rsid w:val="00207FBF"/>
    <w:rsid w:val="00210D53"/>
    <w:rsid w:val="0021130D"/>
    <w:rsid w:val="00211F58"/>
    <w:rsid w:val="00212A0A"/>
    <w:rsid w:val="00212D46"/>
    <w:rsid w:val="00212E3C"/>
    <w:rsid w:val="00213054"/>
    <w:rsid w:val="00213C50"/>
    <w:rsid w:val="00214344"/>
    <w:rsid w:val="00214799"/>
    <w:rsid w:val="00214DA8"/>
    <w:rsid w:val="00215423"/>
    <w:rsid w:val="002158FA"/>
    <w:rsid w:val="00215C03"/>
    <w:rsid w:val="002164FF"/>
    <w:rsid w:val="00216D65"/>
    <w:rsid w:val="00217C84"/>
    <w:rsid w:val="00217F12"/>
    <w:rsid w:val="0022048C"/>
    <w:rsid w:val="00220600"/>
    <w:rsid w:val="0022083B"/>
    <w:rsid w:val="00220B94"/>
    <w:rsid w:val="00220C2E"/>
    <w:rsid w:val="002211F2"/>
    <w:rsid w:val="002213B8"/>
    <w:rsid w:val="00221A2F"/>
    <w:rsid w:val="00221BEB"/>
    <w:rsid w:val="002224DB"/>
    <w:rsid w:val="002229CC"/>
    <w:rsid w:val="00222ADE"/>
    <w:rsid w:val="00222C47"/>
    <w:rsid w:val="002234A6"/>
    <w:rsid w:val="00223FCB"/>
    <w:rsid w:val="00224B79"/>
    <w:rsid w:val="002252C3"/>
    <w:rsid w:val="002257D2"/>
    <w:rsid w:val="00225B4C"/>
    <w:rsid w:val="00225C54"/>
    <w:rsid w:val="00226A0C"/>
    <w:rsid w:val="002271D5"/>
    <w:rsid w:val="002272C3"/>
    <w:rsid w:val="0022741B"/>
    <w:rsid w:val="00230226"/>
    <w:rsid w:val="0023022D"/>
    <w:rsid w:val="00230765"/>
    <w:rsid w:val="00230ACD"/>
    <w:rsid w:val="00230F2F"/>
    <w:rsid w:val="002310BC"/>
    <w:rsid w:val="002319E4"/>
    <w:rsid w:val="00231E00"/>
    <w:rsid w:val="00232A8F"/>
    <w:rsid w:val="002334B4"/>
    <w:rsid w:val="0023374C"/>
    <w:rsid w:val="00233838"/>
    <w:rsid w:val="0023398C"/>
    <w:rsid w:val="00233CFA"/>
    <w:rsid w:val="00233E61"/>
    <w:rsid w:val="00235632"/>
    <w:rsid w:val="00235872"/>
    <w:rsid w:val="00235971"/>
    <w:rsid w:val="00235D2C"/>
    <w:rsid w:val="00235D46"/>
    <w:rsid w:val="00235FA8"/>
    <w:rsid w:val="002362A2"/>
    <w:rsid w:val="00236AB7"/>
    <w:rsid w:val="00236DE6"/>
    <w:rsid w:val="002373A8"/>
    <w:rsid w:val="0023772F"/>
    <w:rsid w:val="002402AB"/>
    <w:rsid w:val="00241559"/>
    <w:rsid w:val="00241CA5"/>
    <w:rsid w:val="00241D56"/>
    <w:rsid w:val="00241EC9"/>
    <w:rsid w:val="002435B3"/>
    <w:rsid w:val="00243BCE"/>
    <w:rsid w:val="00245400"/>
    <w:rsid w:val="0024586C"/>
    <w:rsid w:val="002458EB"/>
    <w:rsid w:val="0024657C"/>
    <w:rsid w:val="002500C8"/>
    <w:rsid w:val="002509F5"/>
    <w:rsid w:val="00250BE7"/>
    <w:rsid w:val="00250CB0"/>
    <w:rsid w:val="00250D52"/>
    <w:rsid w:val="00251571"/>
    <w:rsid w:val="00251EA0"/>
    <w:rsid w:val="00251FBC"/>
    <w:rsid w:val="0025250B"/>
    <w:rsid w:val="0025280D"/>
    <w:rsid w:val="00253115"/>
    <w:rsid w:val="002531A3"/>
    <w:rsid w:val="00253A69"/>
    <w:rsid w:val="00253A77"/>
    <w:rsid w:val="00253C96"/>
    <w:rsid w:val="00253F49"/>
    <w:rsid w:val="002542E4"/>
    <w:rsid w:val="00254313"/>
    <w:rsid w:val="002543E9"/>
    <w:rsid w:val="0025455C"/>
    <w:rsid w:val="002546CB"/>
    <w:rsid w:val="002548CB"/>
    <w:rsid w:val="00255789"/>
    <w:rsid w:val="002557A2"/>
    <w:rsid w:val="00256384"/>
    <w:rsid w:val="00256483"/>
    <w:rsid w:val="00257321"/>
    <w:rsid w:val="00257543"/>
    <w:rsid w:val="00257A12"/>
    <w:rsid w:val="00257D75"/>
    <w:rsid w:val="00260896"/>
    <w:rsid w:val="002617E7"/>
    <w:rsid w:val="00261C3F"/>
    <w:rsid w:val="00261FC8"/>
    <w:rsid w:val="00262114"/>
    <w:rsid w:val="0026224F"/>
    <w:rsid w:val="002627FC"/>
    <w:rsid w:val="00262CB8"/>
    <w:rsid w:val="00263069"/>
    <w:rsid w:val="0026321A"/>
    <w:rsid w:val="00264228"/>
    <w:rsid w:val="00264334"/>
    <w:rsid w:val="0026473E"/>
    <w:rsid w:val="00265FD8"/>
    <w:rsid w:val="00266214"/>
    <w:rsid w:val="00266460"/>
    <w:rsid w:val="00266A84"/>
    <w:rsid w:val="00267137"/>
    <w:rsid w:val="00267728"/>
    <w:rsid w:val="00267C83"/>
    <w:rsid w:val="00267DFD"/>
    <w:rsid w:val="002700A9"/>
    <w:rsid w:val="00270AE3"/>
    <w:rsid w:val="002710FD"/>
    <w:rsid w:val="0027144F"/>
    <w:rsid w:val="00271523"/>
    <w:rsid w:val="00271A80"/>
    <w:rsid w:val="00271F3A"/>
    <w:rsid w:val="002720DE"/>
    <w:rsid w:val="00272CC1"/>
    <w:rsid w:val="00273020"/>
    <w:rsid w:val="00273278"/>
    <w:rsid w:val="002737F4"/>
    <w:rsid w:val="00273F10"/>
    <w:rsid w:val="00274E42"/>
    <w:rsid w:val="00275572"/>
    <w:rsid w:val="00275F1B"/>
    <w:rsid w:val="0027632E"/>
    <w:rsid w:val="0027648E"/>
    <w:rsid w:val="00276C20"/>
    <w:rsid w:val="0027787B"/>
    <w:rsid w:val="002778F9"/>
    <w:rsid w:val="002805F5"/>
    <w:rsid w:val="00280751"/>
    <w:rsid w:val="00280898"/>
    <w:rsid w:val="002809C1"/>
    <w:rsid w:val="00280DA5"/>
    <w:rsid w:val="00280E2B"/>
    <w:rsid w:val="00281DD5"/>
    <w:rsid w:val="0028280A"/>
    <w:rsid w:val="00283E1D"/>
    <w:rsid w:val="00284F31"/>
    <w:rsid w:val="0028561E"/>
    <w:rsid w:val="00285AD6"/>
    <w:rsid w:val="00285E7F"/>
    <w:rsid w:val="002863A8"/>
    <w:rsid w:val="002863F5"/>
    <w:rsid w:val="00286666"/>
    <w:rsid w:val="00286ACD"/>
    <w:rsid w:val="00286FC4"/>
    <w:rsid w:val="00287313"/>
    <w:rsid w:val="002875D2"/>
    <w:rsid w:val="00287838"/>
    <w:rsid w:val="00287A62"/>
    <w:rsid w:val="00287FC8"/>
    <w:rsid w:val="002907B5"/>
    <w:rsid w:val="00290A0F"/>
    <w:rsid w:val="00291C07"/>
    <w:rsid w:val="002921E6"/>
    <w:rsid w:val="00292560"/>
    <w:rsid w:val="00292E1E"/>
    <w:rsid w:val="00292EB7"/>
    <w:rsid w:val="00293328"/>
    <w:rsid w:val="00293817"/>
    <w:rsid w:val="00294139"/>
    <w:rsid w:val="002950B5"/>
    <w:rsid w:val="00295399"/>
    <w:rsid w:val="0029561E"/>
    <w:rsid w:val="002956A6"/>
    <w:rsid w:val="00295921"/>
    <w:rsid w:val="00295C79"/>
    <w:rsid w:val="00296227"/>
    <w:rsid w:val="002969F6"/>
    <w:rsid w:val="00296F44"/>
    <w:rsid w:val="0029739C"/>
    <w:rsid w:val="0029777D"/>
    <w:rsid w:val="00297B6D"/>
    <w:rsid w:val="00297C35"/>
    <w:rsid w:val="002A02FD"/>
    <w:rsid w:val="002A055E"/>
    <w:rsid w:val="002A0843"/>
    <w:rsid w:val="002A0A9D"/>
    <w:rsid w:val="002A0ED4"/>
    <w:rsid w:val="002A17D5"/>
    <w:rsid w:val="002A1B19"/>
    <w:rsid w:val="002A1D4E"/>
    <w:rsid w:val="002A20E7"/>
    <w:rsid w:val="002A26FA"/>
    <w:rsid w:val="002A2869"/>
    <w:rsid w:val="002A2BD1"/>
    <w:rsid w:val="002A4F2D"/>
    <w:rsid w:val="002A563D"/>
    <w:rsid w:val="002A5700"/>
    <w:rsid w:val="002A5C9F"/>
    <w:rsid w:val="002A5DB4"/>
    <w:rsid w:val="002A633C"/>
    <w:rsid w:val="002A6A54"/>
    <w:rsid w:val="002A6BF0"/>
    <w:rsid w:val="002B098C"/>
    <w:rsid w:val="002B16FE"/>
    <w:rsid w:val="002B238E"/>
    <w:rsid w:val="002B2432"/>
    <w:rsid w:val="002B24D6"/>
    <w:rsid w:val="002B361C"/>
    <w:rsid w:val="002B406D"/>
    <w:rsid w:val="002B430A"/>
    <w:rsid w:val="002B432B"/>
    <w:rsid w:val="002B5254"/>
    <w:rsid w:val="002B55CF"/>
    <w:rsid w:val="002B6043"/>
    <w:rsid w:val="002B656F"/>
    <w:rsid w:val="002B6C8C"/>
    <w:rsid w:val="002C01DE"/>
    <w:rsid w:val="002C02AE"/>
    <w:rsid w:val="002C042F"/>
    <w:rsid w:val="002C0484"/>
    <w:rsid w:val="002C0625"/>
    <w:rsid w:val="002C06CB"/>
    <w:rsid w:val="002C0815"/>
    <w:rsid w:val="002C1AAA"/>
    <w:rsid w:val="002C275F"/>
    <w:rsid w:val="002C29B6"/>
    <w:rsid w:val="002C3FF6"/>
    <w:rsid w:val="002C41E6"/>
    <w:rsid w:val="002C5323"/>
    <w:rsid w:val="002C539A"/>
    <w:rsid w:val="002C591D"/>
    <w:rsid w:val="002D020A"/>
    <w:rsid w:val="002D054A"/>
    <w:rsid w:val="002D071A"/>
    <w:rsid w:val="002D0900"/>
    <w:rsid w:val="002D117F"/>
    <w:rsid w:val="002D1FA1"/>
    <w:rsid w:val="002D2408"/>
    <w:rsid w:val="002D24D0"/>
    <w:rsid w:val="002D276D"/>
    <w:rsid w:val="002D3034"/>
    <w:rsid w:val="002D322B"/>
    <w:rsid w:val="002D34B2"/>
    <w:rsid w:val="002D4133"/>
    <w:rsid w:val="002D57C3"/>
    <w:rsid w:val="002D5B86"/>
    <w:rsid w:val="002D6C8C"/>
    <w:rsid w:val="002D7052"/>
    <w:rsid w:val="002D7265"/>
    <w:rsid w:val="002D7637"/>
    <w:rsid w:val="002E0031"/>
    <w:rsid w:val="002E071F"/>
    <w:rsid w:val="002E1050"/>
    <w:rsid w:val="002E13BD"/>
    <w:rsid w:val="002E17F2"/>
    <w:rsid w:val="002E19D8"/>
    <w:rsid w:val="002E386D"/>
    <w:rsid w:val="002E44AD"/>
    <w:rsid w:val="002E4527"/>
    <w:rsid w:val="002E45E7"/>
    <w:rsid w:val="002E481A"/>
    <w:rsid w:val="002E4D97"/>
    <w:rsid w:val="002E5CD0"/>
    <w:rsid w:val="002E5EAB"/>
    <w:rsid w:val="002E63BD"/>
    <w:rsid w:val="002E6827"/>
    <w:rsid w:val="002E6D26"/>
    <w:rsid w:val="002E7CAE"/>
    <w:rsid w:val="002E7E47"/>
    <w:rsid w:val="002F0081"/>
    <w:rsid w:val="002F01EF"/>
    <w:rsid w:val="002F085C"/>
    <w:rsid w:val="002F0EB2"/>
    <w:rsid w:val="002F0FAE"/>
    <w:rsid w:val="002F1210"/>
    <w:rsid w:val="002F13B1"/>
    <w:rsid w:val="002F1EB6"/>
    <w:rsid w:val="002F1F36"/>
    <w:rsid w:val="002F1F4E"/>
    <w:rsid w:val="002F2771"/>
    <w:rsid w:val="002F37A9"/>
    <w:rsid w:val="002F3893"/>
    <w:rsid w:val="002F3EB5"/>
    <w:rsid w:val="002F417B"/>
    <w:rsid w:val="002F4212"/>
    <w:rsid w:val="002F42DA"/>
    <w:rsid w:val="002F44ED"/>
    <w:rsid w:val="002F4DDB"/>
    <w:rsid w:val="002F5561"/>
    <w:rsid w:val="002F5CDA"/>
    <w:rsid w:val="002F62F5"/>
    <w:rsid w:val="002F6626"/>
    <w:rsid w:val="002F67C2"/>
    <w:rsid w:val="002F7089"/>
    <w:rsid w:val="00301257"/>
    <w:rsid w:val="00301CE6"/>
    <w:rsid w:val="00301D3C"/>
    <w:rsid w:val="0030256B"/>
    <w:rsid w:val="003025D6"/>
    <w:rsid w:val="00302E37"/>
    <w:rsid w:val="00303794"/>
    <w:rsid w:val="00303E39"/>
    <w:rsid w:val="00304037"/>
    <w:rsid w:val="00304338"/>
    <w:rsid w:val="00304710"/>
    <w:rsid w:val="00304DE9"/>
    <w:rsid w:val="0030501F"/>
    <w:rsid w:val="00306548"/>
    <w:rsid w:val="003070BB"/>
    <w:rsid w:val="00307BA1"/>
    <w:rsid w:val="003106F5"/>
    <w:rsid w:val="00310861"/>
    <w:rsid w:val="00310BF9"/>
    <w:rsid w:val="00310C25"/>
    <w:rsid w:val="00310CEB"/>
    <w:rsid w:val="00310E39"/>
    <w:rsid w:val="003113A2"/>
    <w:rsid w:val="00311702"/>
    <w:rsid w:val="00311B31"/>
    <w:rsid w:val="00311BB6"/>
    <w:rsid w:val="00311CCB"/>
    <w:rsid w:val="00311E82"/>
    <w:rsid w:val="003121F3"/>
    <w:rsid w:val="003127DA"/>
    <w:rsid w:val="00312FE9"/>
    <w:rsid w:val="0031309F"/>
    <w:rsid w:val="003137D1"/>
    <w:rsid w:val="00313FD6"/>
    <w:rsid w:val="003143BD"/>
    <w:rsid w:val="00317A38"/>
    <w:rsid w:val="00317B01"/>
    <w:rsid w:val="00317E57"/>
    <w:rsid w:val="003203ED"/>
    <w:rsid w:val="00321B8C"/>
    <w:rsid w:val="00322900"/>
    <w:rsid w:val="00322C9F"/>
    <w:rsid w:val="00323D2F"/>
    <w:rsid w:val="00323DF6"/>
    <w:rsid w:val="00323F80"/>
    <w:rsid w:val="00324456"/>
    <w:rsid w:val="00324D23"/>
    <w:rsid w:val="00324E1B"/>
    <w:rsid w:val="0032505B"/>
    <w:rsid w:val="003250A8"/>
    <w:rsid w:val="00327884"/>
    <w:rsid w:val="0033036C"/>
    <w:rsid w:val="0033074D"/>
    <w:rsid w:val="00331751"/>
    <w:rsid w:val="00331D5D"/>
    <w:rsid w:val="00332EAB"/>
    <w:rsid w:val="0033324A"/>
    <w:rsid w:val="003336DC"/>
    <w:rsid w:val="00333A1F"/>
    <w:rsid w:val="00333E51"/>
    <w:rsid w:val="00334579"/>
    <w:rsid w:val="00335858"/>
    <w:rsid w:val="0033586F"/>
    <w:rsid w:val="00336174"/>
    <w:rsid w:val="0033640D"/>
    <w:rsid w:val="003364D1"/>
    <w:rsid w:val="00336BDA"/>
    <w:rsid w:val="003405A9"/>
    <w:rsid w:val="003409B2"/>
    <w:rsid w:val="00341CE2"/>
    <w:rsid w:val="00342BD7"/>
    <w:rsid w:val="00343A07"/>
    <w:rsid w:val="00345015"/>
    <w:rsid w:val="00345333"/>
    <w:rsid w:val="00345B74"/>
    <w:rsid w:val="00346838"/>
    <w:rsid w:val="003469BA"/>
    <w:rsid w:val="00346DB5"/>
    <w:rsid w:val="003476F9"/>
    <w:rsid w:val="003477B1"/>
    <w:rsid w:val="00347968"/>
    <w:rsid w:val="00347AAD"/>
    <w:rsid w:val="003501A5"/>
    <w:rsid w:val="00350AA0"/>
    <w:rsid w:val="00351671"/>
    <w:rsid w:val="003521FD"/>
    <w:rsid w:val="003526D5"/>
    <w:rsid w:val="00352ADF"/>
    <w:rsid w:val="00352B16"/>
    <w:rsid w:val="00352E34"/>
    <w:rsid w:val="00353C6F"/>
    <w:rsid w:val="0035443A"/>
    <w:rsid w:val="0035482C"/>
    <w:rsid w:val="00354CAA"/>
    <w:rsid w:val="00355AD4"/>
    <w:rsid w:val="00355E75"/>
    <w:rsid w:val="00355EA2"/>
    <w:rsid w:val="003561FD"/>
    <w:rsid w:val="0035656F"/>
    <w:rsid w:val="00357380"/>
    <w:rsid w:val="00357DC7"/>
    <w:rsid w:val="003602D9"/>
    <w:rsid w:val="0036035A"/>
    <w:rsid w:val="003604CE"/>
    <w:rsid w:val="00360628"/>
    <w:rsid w:val="003606AC"/>
    <w:rsid w:val="00360708"/>
    <w:rsid w:val="00360747"/>
    <w:rsid w:val="00360C04"/>
    <w:rsid w:val="00361A70"/>
    <w:rsid w:val="00362AD9"/>
    <w:rsid w:val="00362C05"/>
    <w:rsid w:val="00362F13"/>
    <w:rsid w:val="00363444"/>
    <w:rsid w:val="00363581"/>
    <w:rsid w:val="00364BC3"/>
    <w:rsid w:val="0036539F"/>
    <w:rsid w:val="00365546"/>
    <w:rsid w:val="003662BC"/>
    <w:rsid w:val="00366657"/>
    <w:rsid w:val="0036691E"/>
    <w:rsid w:val="003669D5"/>
    <w:rsid w:val="003675AE"/>
    <w:rsid w:val="00367C7A"/>
    <w:rsid w:val="003700FC"/>
    <w:rsid w:val="00370300"/>
    <w:rsid w:val="003703C6"/>
    <w:rsid w:val="00370E47"/>
    <w:rsid w:val="0037104F"/>
    <w:rsid w:val="0037175B"/>
    <w:rsid w:val="00371A50"/>
    <w:rsid w:val="00372B5A"/>
    <w:rsid w:val="0037313D"/>
    <w:rsid w:val="003739D8"/>
    <w:rsid w:val="00373BA9"/>
    <w:rsid w:val="00373FDB"/>
    <w:rsid w:val="003742AC"/>
    <w:rsid w:val="00375474"/>
    <w:rsid w:val="00375BB6"/>
    <w:rsid w:val="00375E4F"/>
    <w:rsid w:val="00375E81"/>
    <w:rsid w:val="003765A9"/>
    <w:rsid w:val="00377059"/>
    <w:rsid w:val="003777A3"/>
    <w:rsid w:val="003778BA"/>
    <w:rsid w:val="00377CE1"/>
    <w:rsid w:val="00380032"/>
    <w:rsid w:val="003806C8"/>
    <w:rsid w:val="00380B82"/>
    <w:rsid w:val="00381888"/>
    <w:rsid w:val="00383625"/>
    <w:rsid w:val="00383ED4"/>
    <w:rsid w:val="0038492A"/>
    <w:rsid w:val="00384E23"/>
    <w:rsid w:val="003850A4"/>
    <w:rsid w:val="00385BF0"/>
    <w:rsid w:val="003866C7"/>
    <w:rsid w:val="003869E2"/>
    <w:rsid w:val="00387DDC"/>
    <w:rsid w:val="0039016E"/>
    <w:rsid w:val="00390826"/>
    <w:rsid w:val="00390C7E"/>
    <w:rsid w:val="00390F26"/>
    <w:rsid w:val="00391112"/>
    <w:rsid w:val="003919AC"/>
    <w:rsid w:val="003928D6"/>
    <w:rsid w:val="003939FF"/>
    <w:rsid w:val="00393BF2"/>
    <w:rsid w:val="00393D55"/>
    <w:rsid w:val="00394896"/>
    <w:rsid w:val="00394C2D"/>
    <w:rsid w:val="00394F08"/>
    <w:rsid w:val="00395287"/>
    <w:rsid w:val="003958F1"/>
    <w:rsid w:val="00395AF3"/>
    <w:rsid w:val="00395B6A"/>
    <w:rsid w:val="00395D80"/>
    <w:rsid w:val="00396763"/>
    <w:rsid w:val="00396B1F"/>
    <w:rsid w:val="00396B88"/>
    <w:rsid w:val="00396DD5"/>
    <w:rsid w:val="003A03F4"/>
    <w:rsid w:val="003A06BC"/>
    <w:rsid w:val="003A13D1"/>
    <w:rsid w:val="003A16DC"/>
    <w:rsid w:val="003A1740"/>
    <w:rsid w:val="003A2223"/>
    <w:rsid w:val="003A22BC"/>
    <w:rsid w:val="003A238F"/>
    <w:rsid w:val="003A2A0F"/>
    <w:rsid w:val="003A45A1"/>
    <w:rsid w:val="003A53A4"/>
    <w:rsid w:val="003A5B0A"/>
    <w:rsid w:val="003A5E23"/>
    <w:rsid w:val="003A6111"/>
    <w:rsid w:val="003A63F5"/>
    <w:rsid w:val="003A6BAC"/>
    <w:rsid w:val="003A6CD6"/>
    <w:rsid w:val="003A7815"/>
    <w:rsid w:val="003A7EF3"/>
    <w:rsid w:val="003B0545"/>
    <w:rsid w:val="003B0F35"/>
    <w:rsid w:val="003B159C"/>
    <w:rsid w:val="003B18EA"/>
    <w:rsid w:val="003B2105"/>
    <w:rsid w:val="003B26DF"/>
    <w:rsid w:val="003B281F"/>
    <w:rsid w:val="003B2A05"/>
    <w:rsid w:val="003B31AE"/>
    <w:rsid w:val="003B359D"/>
    <w:rsid w:val="003B369F"/>
    <w:rsid w:val="003B36A3"/>
    <w:rsid w:val="003B4442"/>
    <w:rsid w:val="003B517F"/>
    <w:rsid w:val="003B6C78"/>
    <w:rsid w:val="003B77E8"/>
    <w:rsid w:val="003B7FD1"/>
    <w:rsid w:val="003B7FE5"/>
    <w:rsid w:val="003C04AB"/>
    <w:rsid w:val="003C0576"/>
    <w:rsid w:val="003C058C"/>
    <w:rsid w:val="003C0DAB"/>
    <w:rsid w:val="003C11C8"/>
    <w:rsid w:val="003C2235"/>
    <w:rsid w:val="003C2702"/>
    <w:rsid w:val="003C2C01"/>
    <w:rsid w:val="003C2C18"/>
    <w:rsid w:val="003C3066"/>
    <w:rsid w:val="003C33CB"/>
    <w:rsid w:val="003C379E"/>
    <w:rsid w:val="003C3AC4"/>
    <w:rsid w:val="003C4295"/>
    <w:rsid w:val="003C454F"/>
    <w:rsid w:val="003C460F"/>
    <w:rsid w:val="003C46B0"/>
    <w:rsid w:val="003C5B2C"/>
    <w:rsid w:val="003C61BF"/>
    <w:rsid w:val="003C6EBE"/>
    <w:rsid w:val="003C7806"/>
    <w:rsid w:val="003C78D2"/>
    <w:rsid w:val="003C7AB5"/>
    <w:rsid w:val="003D0761"/>
    <w:rsid w:val="003D0A76"/>
    <w:rsid w:val="003D109F"/>
    <w:rsid w:val="003D10AD"/>
    <w:rsid w:val="003D1CA1"/>
    <w:rsid w:val="003D1EBB"/>
    <w:rsid w:val="003D2478"/>
    <w:rsid w:val="003D2FC4"/>
    <w:rsid w:val="003D3C45"/>
    <w:rsid w:val="003D3D65"/>
    <w:rsid w:val="003D42CC"/>
    <w:rsid w:val="003D45FC"/>
    <w:rsid w:val="003D5607"/>
    <w:rsid w:val="003D5B1F"/>
    <w:rsid w:val="003D5BDB"/>
    <w:rsid w:val="003D5FC5"/>
    <w:rsid w:val="003D646D"/>
    <w:rsid w:val="003D6E70"/>
    <w:rsid w:val="003D7359"/>
    <w:rsid w:val="003D7456"/>
    <w:rsid w:val="003D7764"/>
    <w:rsid w:val="003D798E"/>
    <w:rsid w:val="003E0119"/>
    <w:rsid w:val="003E05C9"/>
    <w:rsid w:val="003E0674"/>
    <w:rsid w:val="003E0B0D"/>
    <w:rsid w:val="003E0D31"/>
    <w:rsid w:val="003E15FA"/>
    <w:rsid w:val="003E1F69"/>
    <w:rsid w:val="003E2E58"/>
    <w:rsid w:val="003E315E"/>
    <w:rsid w:val="003E3462"/>
    <w:rsid w:val="003E3EC0"/>
    <w:rsid w:val="003E46D5"/>
    <w:rsid w:val="003E4C1F"/>
    <w:rsid w:val="003E54FC"/>
    <w:rsid w:val="003E55E4"/>
    <w:rsid w:val="003E56EC"/>
    <w:rsid w:val="003E59C0"/>
    <w:rsid w:val="003E6F4F"/>
    <w:rsid w:val="003E74E3"/>
    <w:rsid w:val="003E75BA"/>
    <w:rsid w:val="003F05C7"/>
    <w:rsid w:val="003F10A3"/>
    <w:rsid w:val="003F128C"/>
    <w:rsid w:val="003F16AE"/>
    <w:rsid w:val="003F26F9"/>
    <w:rsid w:val="003F2A46"/>
    <w:rsid w:val="003F2CD4"/>
    <w:rsid w:val="003F2F9C"/>
    <w:rsid w:val="003F31A4"/>
    <w:rsid w:val="003F332C"/>
    <w:rsid w:val="003F38B0"/>
    <w:rsid w:val="003F3B63"/>
    <w:rsid w:val="003F3EFD"/>
    <w:rsid w:val="003F4D56"/>
    <w:rsid w:val="003F4FB7"/>
    <w:rsid w:val="003F67E5"/>
    <w:rsid w:val="003F6851"/>
    <w:rsid w:val="003F6BBE"/>
    <w:rsid w:val="003F723F"/>
    <w:rsid w:val="003F767F"/>
    <w:rsid w:val="003F7761"/>
    <w:rsid w:val="003F7AC9"/>
    <w:rsid w:val="003F7FC6"/>
    <w:rsid w:val="004000E8"/>
    <w:rsid w:val="004012D1"/>
    <w:rsid w:val="004018BD"/>
    <w:rsid w:val="00402E2B"/>
    <w:rsid w:val="00402F5D"/>
    <w:rsid w:val="004031DE"/>
    <w:rsid w:val="00403A7E"/>
    <w:rsid w:val="00403B59"/>
    <w:rsid w:val="00404D0A"/>
    <w:rsid w:val="0040512B"/>
    <w:rsid w:val="00405BA5"/>
    <w:rsid w:val="00405CA5"/>
    <w:rsid w:val="00406038"/>
    <w:rsid w:val="004071F0"/>
    <w:rsid w:val="00407A72"/>
    <w:rsid w:val="00407AE9"/>
    <w:rsid w:val="00407B76"/>
    <w:rsid w:val="00407C90"/>
    <w:rsid w:val="00407CD3"/>
    <w:rsid w:val="00410134"/>
    <w:rsid w:val="00410B72"/>
    <w:rsid w:val="00410B7B"/>
    <w:rsid w:val="00410F18"/>
    <w:rsid w:val="00410FA9"/>
    <w:rsid w:val="00410FD2"/>
    <w:rsid w:val="004113B4"/>
    <w:rsid w:val="004116F0"/>
    <w:rsid w:val="004118C8"/>
    <w:rsid w:val="00411999"/>
    <w:rsid w:val="0041263E"/>
    <w:rsid w:val="004130C5"/>
    <w:rsid w:val="0041319B"/>
    <w:rsid w:val="004132C8"/>
    <w:rsid w:val="0041352C"/>
    <w:rsid w:val="00413AAC"/>
    <w:rsid w:val="004154C5"/>
    <w:rsid w:val="004159EB"/>
    <w:rsid w:val="00415B7E"/>
    <w:rsid w:val="004164B3"/>
    <w:rsid w:val="004176EB"/>
    <w:rsid w:val="00417919"/>
    <w:rsid w:val="004201FE"/>
    <w:rsid w:val="00420E37"/>
    <w:rsid w:val="00421105"/>
    <w:rsid w:val="004211AC"/>
    <w:rsid w:val="00421784"/>
    <w:rsid w:val="0042195B"/>
    <w:rsid w:val="00421F75"/>
    <w:rsid w:val="00422189"/>
    <w:rsid w:val="00422190"/>
    <w:rsid w:val="00423521"/>
    <w:rsid w:val="00423687"/>
    <w:rsid w:val="004238C9"/>
    <w:rsid w:val="00423910"/>
    <w:rsid w:val="004241FD"/>
    <w:rsid w:val="004242F4"/>
    <w:rsid w:val="00424F3F"/>
    <w:rsid w:val="004257D7"/>
    <w:rsid w:val="00425889"/>
    <w:rsid w:val="004270BA"/>
    <w:rsid w:val="00427248"/>
    <w:rsid w:val="00427A45"/>
    <w:rsid w:val="00427B7B"/>
    <w:rsid w:val="00430217"/>
    <w:rsid w:val="004306FA"/>
    <w:rsid w:val="004319E2"/>
    <w:rsid w:val="004320D2"/>
    <w:rsid w:val="004322B6"/>
    <w:rsid w:val="00432704"/>
    <w:rsid w:val="00432C84"/>
    <w:rsid w:val="004337E0"/>
    <w:rsid w:val="00433868"/>
    <w:rsid w:val="004340AB"/>
    <w:rsid w:val="00434186"/>
    <w:rsid w:val="004359A0"/>
    <w:rsid w:val="004361D0"/>
    <w:rsid w:val="00436C4F"/>
    <w:rsid w:val="00436FD8"/>
    <w:rsid w:val="00437447"/>
    <w:rsid w:val="004374E6"/>
    <w:rsid w:val="00437610"/>
    <w:rsid w:val="00437F19"/>
    <w:rsid w:val="00440540"/>
    <w:rsid w:val="00440743"/>
    <w:rsid w:val="00440CEF"/>
    <w:rsid w:val="00441038"/>
    <w:rsid w:val="00441539"/>
    <w:rsid w:val="00441A92"/>
    <w:rsid w:val="00441BE2"/>
    <w:rsid w:val="004423ED"/>
    <w:rsid w:val="00442425"/>
    <w:rsid w:val="004426DE"/>
    <w:rsid w:val="00443065"/>
    <w:rsid w:val="00443568"/>
    <w:rsid w:val="00443BB3"/>
    <w:rsid w:val="00444074"/>
    <w:rsid w:val="00444F56"/>
    <w:rsid w:val="00445838"/>
    <w:rsid w:val="00445839"/>
    <w:rsid w:val="00445FBE"/>
    <w:rsid w:val="00446488"/>
    <w:rsid w:val="004474C1"/>
    <w:rsid w:val="004477D5"/>
    <w:rsid w:val="00447EDF"/>
    <w:rsid w:val="00447F57"/>
    <w:rsid w:val="004517AA"/>
    <w:rsid w:val="00451DB9"/>
    <w:rsid w:val="0045219A"/>
    <w:rsid w:val="00452CAC"/>
    <w:rsid w:val="00453003"/>
    <w:rsid w:val="00453849"/>
    <w:rsid w:val="00454D4C"/>
    <w:rsid w:val="004550CD"/>
    <w:rsid w:val="00455145"/>
    <w:rsid w:val="00455E45"/>
    <w:rsid w:val="00456C36"/>
    <w:rsid w:val="00457481"/>
    <w:rsid w:val="004574EF"/>
    <w:rsid w:val="00457565"/>
    <w:rsid w:val="00457976"/>
    <w:rsid w:val="00457AD4"/>
    <w:rsid w:val="00457B71"/>
    <w:rsid w:val="00460334"/>
    <w:rsid w:val="004609A3"/>
    <w:rsid w:val="00460D3C"/>
    <w:rsid w:val="004617F6"/>
    <w:rsid w:val="00461B0C"/>
    <w:rsid w:val="00461E1B"/>
    <w:rsid w:val="0046239E"/>
    <w:rsid w:val="00462755"/>
    <w:rsid w:val="004627AF"/>
    <w:rsid w:val="004628D3"/>
    <w:rsid w:val="00463BEB"/>
    <w:rsid w:val="00463C0D"/>
    <w:rsid w:val="00463CA6"/>
    <w:rsid w:val="004644EB"/>
    <w:rsid w:val="004649C8"/>
    <w:rsid w:val="00464A1B"/>
    <w:rsid w:val="00464B16"/>
    <w:rsid w:val="0046542D"/>
    <w:rsid w:val="0046562A"/>
    <w:rsid w:val="00465788"/>
    <w:rsid w:val="004658CF"/>
    <w:rsid w:val="00465AC7"/>
    <w:rsid w:val="00465F3A"/>
    <w:rsid w:val="004669E2"/>
    <w:rsid w:val="00466A77"/>
    <w:rsid w:val="00466F15"/>
    <w:rsid w:val="00466F25"/>
    <w:rsid w:val="004673BE"/>
    <w:rsid w:val="00467DBC"/>
    <w:rsid w:val="00467E2F"/>
    <w:rsid w:val="004704DF"/>
    <w:rsid w:val="004709E6"/>
    <w:rsid w:val="00470C31"/>
    <w:rsid w:val="00471C4B"/>
    <w:rsid w:val="00472C22"/>
    <w:rsid w:val="004734D0"/>
    <w:rsid w:val="00473749"/>
    <w:rsid w:val="00474C7D"/>
    <w:rsid w:val="0047556B"/>
    <w:rsid w:val="004758BD"/>
    <w:rsid w:val="00475D97"/>
    <w:rsid w:val="00476B57"/>
    <w:rsid w:val="004771BB"/>
    <w:rsid w:val="00477768"/>
    <w:rsid w:val="00477791"/>
    <w:rsid w:val="0047784B"/>
    <w:rsid w:val="00480675"/>
    <w:rsid w:val="004806E3"/>
    <w:rsid w:val="004814CB"/>
    <w:rsid w:val="00481920"/>
    <w:rsid w:val="004825D8"/>
    <w:rsid w:val="00482647"/>
    <w:rsid w:val="00482811"/>
    <w:rsid w:val="00482E24"/>
    <w:rsid w:val="00483504"/>
    <w:rsid w:val="00483DE6"/>
    <w:rsid w:val="00483FBB"/>
    <w:rsid w:val="0048407E"/>
    <w:rsid w:val="00484347"/>
    <w:rsid w:val="00484B12"/>
    <w:rsid w:val="0048552A"/>
    <w:rsid w:val="0048568A"/>
    <w:rsid w:val="00485C41"/>
    <w:rsid w:val="00485DBF"/>
    <w:rsid w:val="00486318"/>
    <w:rsid w:val="0048704A"/>
    <w:rsid w:val="0048793B"/>
    <w:rsid w:val="00487C28"/>
    <w:rsid w:val="00487C69"/>
    <w:rsid w:val="0049026C"/>
    <w:rsid w:val="00490696"/>
    <w:rsid w:val="004908B1"/>
    <w:rsid w:val="00491170"/>
    <w:rsid w:val="0049200A"/>
    <w:rsid w:val="00492747"/>
    <w:rsid w:val="00492BC5"/>
    <w:rsid w:val="00492D58"/>
    <w:rsid w:val="00492E14"/>
    <w:rsid w:val="004932E3"/>
    <w:rsid w:val="00493819"/>
    <w:rsid w:val="00494066"/>
    <w:rsid w:val="004957C8"/>
    <w:rsid w:val="00495A77"/>
    <w:rsid w:val="004961A9"/>
    <w:rsid w:val="004964F1"/>
    <w:rsid w:val="00496B9A"/>
    <w:rsid w:val="00497411"/>
    <w:rsid w:val="004A0E54"/>
    <w:rsid w:val="004A1612"/>
    <w:rsid w:val="004A16BC"/>
    <w:rsid w:val="004A1C96"/>
    <w:rsid w:val="004A1E83"/>
    <w:rsid w:val="004A21C1"/>
    <w:rsid w:val="004A260C"/>
    <w:rsid w:val="004A2B94"/>
    <w:rsid w:val="004A4186"/>
    <w:rsid w:val="004A41CD"/>
    <w:rsid w:val="004A5941"/>
    <w:rsid w:val="004A61A7"/>
    <w:rsid w:val="004A7CEF"/>
    <w:rsid w:val="004B140A"/>
    <w:rsid w:val="004B1999"/>
    <w:rsid w:val="004B1AAD"/>
    <w:rsid w:val="004B1EB4"/>
    <w:rsid w:val="004B29D1"/>
    <w:rsid w:val="004B3F6B"/>
    <w:rsid w:val="004B40EC"/>
    <w:rsid w:val="004B50E1"/>
    <w:rsid w:val="004B51B2"/>
    <w:rsid w:val="004B556D"/>
    <w:rsid w:val="004B58D3"/>
    <w:rsid w:val="004B69CC"/>
    <w:rsid w:val="004B6BE6"/>
    <w:rsid w:val="004B6DEA"/>
    <w:rsid w:val="004B6F96"/>
    <w:rsid w:val="004B7C0C"/>
    <w:rsid w:val="004B7F0A"/>
    <w:rsid w:val="004B7F1A"/>
    <w:rsid w:val="004C14C3"/>
    <w:rsid w:val="004C16B1"/>
    <w:rsid w:val="004C2515"/>
    <w:rsid w:val="004C29DC"/>
    <w:rsid w:val="004C3898"/>
    <w:rsid w:val="004C389B"/>
    <w:rsid w:val="004C3C78"/>
    <w:rsid w:val="004C4292"/>
    <w:rsid w:val="004C4E39"/>
    <w:rsid w:val="004C504D"/>
    <w:rsid w:val="004C52E1"/>
    <w:rsid w:val="004C541F"/>
    <w:rsid w:val="004C54A4"/>
    <w:rsid w:val="004C6074"/>
    <w:rsid w:val="004C60D1"/>
    <w:rsid w:val="004C6912"/>
    <w:rsid w:val="004C6DFE"/>
    <w:rsid w:val="004C6FCD"/>
    <w:rsid w:val="004D0001"/>
    <w:rsid w:val="004D111E"/>
    <w:rsid w:val="004D172C"/>
    <w:rsid w:val="004D1A8C"/>
    <w:rsid w:val="004D25EA"/>
    <w:rsid w:val="004D36B1"/>
    <w:rsid w:val="004D3A12"/>
    <w:rsid w:val="004D483A"/>
    <w:rsid w:val="004D5745"/>
    <w:rsid w:val="004D672E"/>
    <w:rsid w:val="004D6C5A"/>
    <w:rsid w:val="004D73CB"/>
    <w:rsid w:val="004D796E"/>
    <w:rsid w:val="004D7C3F"/>
    <w:rsid w:val="004D7EBD"/>
    <w:rsid w:val="004E1402"/>
    <w:rsid w:val="004E16B5"/>
    <w:rsid w:val="004E16FA"/>
    <w:rsid w:val="004E188C"/>
    <w:rsid w:val="004E2680"/>
    <w:rsid w:val="004E28F9"/>
    <w:rsid w:val="004E2A75"/>
    <w:rsid w:val="004E2DB7"/>
    <w:rsid w:val="004E3357"/>
    <w:rsid w:val="004E3448"/>
    <w:rsid w:val="004E36CA"/>
    <w:rsid w:val="004E4013"/>
    <w:rsid w:val="004E462E"/>
    <w:rsid w:val="004E5327"/>
    <w:rsid w:val="004E56DC"/>
    <w:rsid w:val="004E5B21"/>
    <w:rsid w:val="004E74A7"/>
    <w:rsid w:val="004E76F4"/>
    <w:rsid w:val="004E7F6C"/>
    <w:rsid w:val="004F0B4E"/>
    <w:rsid w:val="004F0B6C"/>
    <w:rsid w:val="004F10CF"/>
    <w:rsid w:val="004F1557"/>
    <w:rsid w:val="004F2078"/>
    <w:rsid w:val="004F28B2"/>
    <w:rsid w:val="004F2965"/>
    <w:rsid w:val="004F29B4"/>
    <w:rsid w:val="004F3946"/>
    <w:rsid w:val="004F44BE"/>
    <w:rsid w:val="004F4756"/>
    <w:rsid w:val="004F491F"/>
    <w:rsid w:val="004F4981"/>
    <w:rsid w:val="004F4DA3"/>
    <w:rsid w:val="004F508B"/>
    <w:rsid w:val="004F5B00"/>
    <w:rsid w:val="004F5C67"/>
    <w:rsid w:val="004F6769"/>
    <w:rsid w:val="004F6C6C"/>
    <w:rsid w:val="004F6EC9"/>
    <w:rsid w:val="004F729D"/>
    <w:rsid w:val="005000AF"/>
    <w:rsid w:val="00500A09"/>
    <w:rsid w:val="00500E06"/>
    <w:rsid w:val="00501540"/>
    <w:rsid w:val="00502025"/>
    <w:rsid w:val="00502D73"/>
    <w:rsid w:val="0050308B"/>
    <w:rsid w:val="00503E6F"/>
    <w:rsid w:val="00504C99"/>
    <w:rsid w:val="00504DEB"/>
    <w:rsid w:val="00505C27"/>
    <w:rsid w:val="00506557"/>
    <w:rsid w:val="0050677A"/>
    <w:rsid w:val="00506858"/>
    <w:rsid w:val="0050696F"/>
    <w:rsid w:val="005072CE"/>
    <w:rsid w:val="0051024C"/>
    <w:rsid w:val="005108D8"/>
    <w:rsid w:val="005116F9"/>
    <w:rsid w:val="00511E7A"/>
    <w:rsid w:val="00512669"/>
    <w:rsid w:val="00512838"/>
    <w:rsid w:val="005132A2"/>
    <w:rsid w:val="005139E8"/>
    <w:rsid w:val="00513D72"/>
    <w:rsid w:val="00514E66"/>
    <w:rsid w:val="005153A7"/>
    <w:rsid w:val="0051570C"/>
    <w:rsid w:val="005160B5"/>
    <w:rsid w:val="005166E2"/>
    <w:rsid w:val="00516D60"/>
    <w:rsid w:val="00516FAD"/>
    <w:rsid w:val="0051714D"/>
    <w:rsid w:val="00517442"/>
    <w:rsid w:val="005203BA"/>
    <w:rsid w:val="005204A3"/>
    <w:rsid w:val="005206CB"/>
    <w:rsid w:val="0052099C"/>
    <w:rsid w:val="00521043"/>
    <w:rsid w:val="0052137C"/>
    <w:rsid w:val="00521728"/>
    <w:rsid w:val="005219CF"/>
    <w:rsid w:val="00522007"/>
    <w:rsid w:val="00522035"/>
    <w:rsid w:val="005243DB"/>
    <w:rsid w:val="0052481D"/>
    <w:rsid w:val="00525782"/>
    <w:rsid w:val="00525E09"/>
    <w:rsid w:val="00526891"/>
    <w:rsid w:val="00526E90"/>
    <w:rsid w:val="005271CE"/>
    <w:rsid w:val="0052738A"/>
    <w:rsid w:val="0052771A"/>
    <w:rsid w:val="0053068C"/>
    <w:rsid w:val="00531534"/>
    <w:rsid w:val="00531B60"/>
    <w:rsid w:val="0053287C"/>
    <w:rsid w:val="00532D35"/>
    <w:rsid w:val="005330EF"/>
    <w:rsid w:val="005331DF"/>
    <w:rsid w:val="0053355F"/>
    <w:rsid w:val="005338D0"/>
    <w:rsid w:val="00534B59"/>
    <w:rsid w:val="00534F50"/>
    <w:rsid w:val="00535156"/>
    <w:rsid w:val="00535710"/>
    <w:rsid w:val="00535AF7"/>
    <w:rsid w:val="005364A6"/>
    <w:rsid w:val="0053667B"/>
    <w:rsid w:val="00536759"/>
    <w:rsid w:val="005367C3"/>
    <w:rsid w:val="00536D88"/>
    <w:rsid w:val="00537C62"/>
    <w:rsid w:val="0054020D"/>
    <w:rsid w:val="00541662"/>
    <w:rsid w:val="00541DC3"/>
    <w:rsid w:val="0054208C"/>
    <w:rsid w:val="00542653"/>
    <w:rsid w:val="00543234"/>
    <w:rsid w:val="0054368D"/>
    <w:rsid w:val="00543984"/>
    <w:rsid w:val="00543F82"/>
    <w:rsid w:val="00544021"/>
    <w:rsid w:val="0054410E"/>
    <w:rsid w:val="0054462F"/>
    <w:rsid w:val="00544BAC"/>
    <w:rsid w:val="00546970"/>
    <w:rsid w:val="00547B5B"/>
    <w:rsid w:val="00550C90"/>
    <w:rsid w:val="00550E2B"/>
    <w:rsid w:val="00551381"/>
    <w:rsid w:val="005515EB"/>
    <w:rsid w:val="00551A0E"/>
    <w:rsid w:val="00551EB1"/>
    <w:rsid w:val="00552418"/>
    <w:rsid w:val="005526A7"/>
    <w:rsid w:val="005529AB"/>
    <w:rsid w:val="00552B00"/>
    <w:rsid w:val="005532B3"/>
    <w:rsid w:val="00553C13"/>
    <w:rsid w:val="00553CBE"/>
    <w:rsid w:val="00554BC2"/>
    <w:rsid w:val="00554E19"/>
    <w:rsid w:val="00554E79"/>
    <w:rsid w:val="00555E3A"/>
    <w:rsid w:val="00556302"/>
    <w:rsid w:val="005565C7"/>
    <w:rsid w:val="00557D62"/>
    <w:rsid w:val="005607E1"/>
    <w:rsid w:val="00560E4D"/>
    <w:rsid w:val="0056121F"/>
    <w:rsid w:val="00561349"/>
    <w:rsid w:val="0056138C"/>
    <w:rsid w:val="005613C4"/>
    <w:rsid w:val="005614AF"/>
    <w:rsid w:val="00562125"/>
    <w:rsid w:val="00563C8D"/>
    <w:rsid w:val="0056414F"/>
    <w:rsid w:val="005643A9"/>
    <w:rsid w:val="00564CE6"/>
    <w:rsid w:val="00564DD7"/>
    <w:rsid w:val="00564F91"/>
    <w:rsid w:val="00565D18"/>
    <w:rsid w:val="0056617B"/>
    <w:rsid w:val="005663D5"/>
    <w:rsid w:val="005664CA"/>
    <w:rsid w:val="005665C5"/>
    <w:rsid w:val="0056733A"/>
    <w:rsid w:val="00567AC2"/>
    <w:rsid w:val="00567CCF"/>
    <w:rsid w:val="005702FB"/>
    <w:rsid w:val="005705A2"/>
    <w:rsid w:val="00570BF3"/>
    <w:rsid w:val="00570C2A"/>
    <w:rsid w:val="00571171"/>
    <w:rsid w:val="005711B9"/>
    <w:rsid w:val="005716C2"/>
    <w:rsid w:val="00571BFF"/>
    <w:rsid w:val="00571C37"/>
    <w:rsid w:val="005724A7"/>
    <w:rsid w:val="00572505"/>
    <w:rsid w:val="00572B0E"/>
    <w:rsid w:val="005730C2"/>
    <w:rsid w:val="0057421A"/>
    <w:rsid w:val="00574D55"/>
    <w:rsid w:val="0057517B"/>
    <w:rsid w:val="0057579C"/>
    <w:rsid w:val="00575E8E"/>
    <w:rsid w:val="00576295"/>
    <w:rsid w:val="00576B52"/>
    <w:rsid w:val="005779D2"/>
    <w:rsid w:val="00580202"/>
    <w:rsid w:val="00582041"/>
    <w:rsid w:val="0058267B"/>
    <w:rsid w:val="00582809"/>
    <w:rsid w:val="00583214"/>
    <w:rsid w:val="0058350E"/>
    <w:rsid w:val="00583A7A"/>
    <w:rsid w:val="005844F4"/>
    <w:rsid w:val="00584ACD"/>
    <w:rsid w:val="00584E55"/>
    <w:rsid w:val="005862CB"/>
    <w:rsid w:val="00586EEB"/>
    <w:rsid w:val="00587033"/>
    <w:rsid w:val="005873D3"/>
    <w:rsid w:val="005874A0"/>
    <w:rsid w:val="005875C9"/>
    <w:rsid w:val="0058798C"/>
    <w:rsid w:val="005900FA"/>
    <w:rsid w:val="0059101A"/>
    <w:rsid w:val="0059171A"/>
    <w:rsid w:val="00591E55"/>
    <w:rsid w:val="00592C33"/>
    <w:rsid w:val="005935A4"/>
    <w:rsid w:val="005936FB"/>
    <w:rsid w:val="00594252"/>
    <w:rsid w:val="005948C2"/>
    <w:rsid w:val="00594E97"/>
    <w:rsid w:val="00594FFB"/>
    <w:rsid w:val="0059549A"/>
    <w:rsid w:val="00595877"/>
    <w:rsid w:val="00595B14"/>
    <w:rsid w:val="00595DCA"/>
    <w:rsid w:val="00596ABE"/>
    <w:rsid w:val="00596D6B"/>
    <w:rsid w:val="00596FA1"/>
    <w:rsid w:val="0059734A"/>
    <w:rsid w:val="0059739D"/>
    <w:rsid w:val="0059779B"/>
    <w:rsid w:val="005978E8"/>
    <w:rsid w:val="00597AD9"/>
    <w:rsid w:val="005A04BF"/>
    <w:rsid w:val="005A113D"/>
    <w:rsid w:val="005A12D3"/>
    <w:rsid w:val="005A1979"/>
    <w:rsid w:val="005A209A"/>
    <w:rsid w:val="005A22B5"/>
    <w:rsid w:val="005A2347"/>
    <w:rsid w:val="005A2A1F"/>
    <w:rsid w:val="005A2C4D"/>
    <w:rsid w:val="005A386A"/>
    <w:rsid w:val="005A42A3"/>
    <w:rsid w:val="005A4B5A"/>
    <w:rsid w:val="005A54BB"/>
    <w:rsid w:val="005A662D"/>
    <w:rsid w:val="005A6C45"/>
    <w:rsid w:val="005A6E65"/>
    <w:rsid w:val="005A7219"/>
    <w:rsid w:val="005A745C"/>
    <w:rsid w:val="005A78CA"/>
    <w:rsid w:val="005B00F7"/>
    <w:rsid w:val="005B0103"/>
    <w:rsid w:val="005B01C5"/>
    <w:rsid w:val="005B045C"/>
    <w:rsid w:val="005B07EE"/>
    <w:rsid w:val="005B0E95"/>
    <w:rsid w:val="005B19D1"/>
    <w:rsid w:val="005B1DE8"/>
    <w:rsid w:val="005B2411"/>
    <w:rsid w:val="005B25F7"/>
    <w:rsid w:val="005B28BD"/>
    <w:rsid w:val="005B35D7"/>
    <w:rsid w:val="005B391E"/>
    <w:rsid w:val="005B392A"/>
    <w:rsid w:val="005B3AA3"/>
    <w:rsid w:val="005B3F83"/>
    <w:rsid w:val="005B4A44"/>
    <w:rsid w:val="005B4EC1"/>
    <w:rsid w:val="005B555E"/>
    <w:rsid w:val="005B606D"/>
    <w:rsid w:val="005B6089"/>
    <w:rsid w:val="005B6F83"/>
    <w:rsid w:val="005B733B"/>
    <w:rsid w:val="005B7549"/>
    <w:rsid w:val="005C0077"/>
    <w:rsid w:val="005C058C"/>
    <w:rsid w:val="005C083C"/>
    <w:rsid w:val="005C08A9"/>
    <w:rsid w:val="005C0D8C"/>
    <w:rsid w:val="005C2324"/>
    <w:rsid w:val="005C24C1"/>
    <w:rsid w:val="005C2C3C"/>
    <w:rsid w:val="005C377E"/>
    <w:rsid w:val="005C480E"/>
    <w:rsid w:val="005C5143"/>
    <w:rsid w:val="005C5A4F"/>
    <w:rsid w:val="005C5E82"/>
    <w:rsid w:val="005C6023"/>
    <w:rsid w:val="005C6BCE"/>
    <w:rsid w:val="005C6CF5"/>
    <w:rsid w:val="005C7029"/>
    <w:rsid w:val="005C74FB"/>
    <w:rsid w:val="005C7752"/>
    <w:rsid w:val="005C78F9"/>
    <w:rsid w:val="005C78FE"/>
    <w:rsid w:val="005C7F26"/>
    <w:rsid w:val="005D0654"/>
    <w:rsid w:val="005D085F"/>
    <w:rsid w:val="005D0FA1"/>
    <w:rsid w:val="005D0FCF"/>
    <w:rsid w:val="005D1602"/>
    <w:rsid w:val="005D1F90"/>
    <w:rsid w:val="005D259C"/>
    <w:rsid w:val="005D2953"/>
    <w:rsid w:val="005D309C"/>
    <w:rsid w:val="005D4FEE"/>
    <w:rsid w:val="005D57DB"/>
    <w:rsid w:val="005D6F4A"/>
    <w:rsid w:val="005D7306"/>
    <w:rsid w:val="005E279B"/>
    <w:rsid w:val="005E339D"/>
    <w:rsid w:val="005E385F"/>
    <w:rsid w:val="005E405F"/>
    <w:rsid w:val="005E4801"/>
    <w:rsid w:val="005E4D91"/>
    <w:rsid w:val="005E4ECB"/>
    <w:rsid w:val="005E5072"/>
    <w:rsid w:val="005E5B81"/>
    <w:rsid w:val="005E5C3C"/>
    <w:rsid w:val="005E62A9"/>
    <w:rsid w:val="005E6AA1"/>
    <w:rsid w:val="005E6B41"/>
    <w:rsid w:val="005E7474"/>
    <w:rsid w:val="005E74BE"/>
    <w:rsid w:val="005E79D7"/>
    <w:rsid w:val="005F06EF"/>
    <w:rsid w:val="005F0BC7"/>
    <w:rsid w:val="005F0D14"/>
    <w:rsid w:val="005F1579"/>
    <w:rsid w:val="005F1713"/>
    <w:rsid w:val="005F2CB1"/>
    <w:rsid w:val="005F2D35"/>
    <w:rsid w:val="005F2EA7"/>
    <w:rsid w:val="005F3025"/>
    <w:rsid w:val="005F3613"/>
    <w:rsid w:val="005F39BB"/>
    <w:rsid w:val="005F3A4F"/>
    <w:rsid w:val="005F4437"/>
    <w:rsid w:val="005F4D03"/>
    <w:rsid w:val="005F4EE6"/>
    <w:rsid w:val="005F59D5"/>
    <w:rsid w:val="005F5F76"/>
    <w:rsid w:val="005F60EF"/>
    <w:rsid w:val="005F618C"/>
    <w:rsid w:val="005F6E77"/>
    <w:rsid w:val="005F7062"/>
    <w:rsid w:val="005F70BD"/>
    <w:rsid w:val="005F740B"/>
    <w:rsid w:val="005F784C"/>
    <w:rsid w:val="005F7878"/>
    <w:rsid w:val="005F7D8C"/>
    <w:rsid w:val="006000D2"/>
    <w:rsid w:val="0060065B"/>
    <w:rsid w:val="00600868"/>
    <w:rsid w:val="00600EF0"/>
    <w:rsid w:val="00601183"/>
    <w:rsid w:val="00601906"/>
    <w:rsid w:val="0060283C"/>
    <w:rsid w:val="006033E0"/>
    <w:rsid w:val="00603BE4"/>
    <w:rsid w:val="006048D0"/>
    <w:rsid w:val="00604A23"/>
    <w:rsid w:val="00604AF0"/>
    <w:rsid w:val="00604D51"/>
    <w:rsid w:val="00604F14"/>
    <w:rsid w:val="006057D3"/>
    <w:rsid w:val="00605F62"/>
    <w:rsid w:val="00605FF4"/>
    <w:rsid w:val="00606E37"/>
    <w:rsid w:val="00606ED6"/>
    <w:rsid w:val="0060741F"/>
    <w:rsid w:val="00607C83"/>
    <w:rsid w:val="006102C9"/>
    <w:rsid w:val="006117B1"/>
    <w:rsid w:val="00611AA3"/>
    <w:rsid w:val="00611B83"/>
    <w:rsid w:val="006121D5"/>
    <w:rsid w:val="00612656"/>
    <w:rsid w:val="00612A08"/>
    <w:rsid w:val="00612B59"/>
    <w:rsid w:val="00613257"/>
    <w:rsid w:val="00614826"/>
    <w:rsid w:val="00615223"/>
    <w:rsid w:val="006159A7"/>
    <w:rsid w:val="00617415"/>
    <w:rsid w:val="0061798A"/>
    <w:rsid w:val="006203AD"/>
    <w:rsid w:val="00620976"/>
    <w:rsid w:val="00620A71"/>
    <w:rsid w:val="00620D80"/>
    <w:rsid w:val="00620DD6"/>
    <w:rsid w:val="006211C2"/>
    <w:rsid w:val="006222DA"/>
    <w:rsid w:val="00622A62"/>
    <w:rsid w:val="00622CDF"/>
    <w:rsid w:val="006234A6"/>
    <w:rsid w:val="00623C67"/>
    <w:rsid w:val="0062414E"/>
    <w:rsid w:val="00624B48"/>
    <w:rsid w:val="00624D23"/>
    <w:rsid w:val="00624F67"/>
    <w:rsid w:val="006250F2"/>
    <w:rsid w:val="006251C7"/>
    <w:rsid w:val="0062587A"/>
    <w:rsid w:val="00626388"/>
    <w:rsid w:val="00626598"/>
    <w:rsid w:val="0062725E"/>
    <w:rsid w:val="00627ADC"/>
    <w:rsid w:val="00630001"/>
    <w:rsid w:val="00630C1D"/>
    <w:rsid w:val="00631179"/>
    <w:rsid w:val="006311B3"/>
    <w:rsid w:val="00631C6B"/>
    <w:rsid w:val="00632022"/>
    <w:rsid w:val="00632155"/>
    <w:rsid w:val="00632415"/>
    <w:rsid w:val="0063284C"/>
    <w:rsid w:val="00632FB7"/>
    <w:rsid w:val="0063309B"/>
    <w:rsid w:val="006332B7"/>
    <w:rsid w:val="006338E7"/>
    <w:rsid w:val="006345DA"/>
    <w:rsid w:val="006347E6"/>
    <w:rsid w:val="00634AC8"/>
    <w:rsid w:val="00635483"/>
    <w:rsid w:val="00636087"/>
    <w:rsid w:val="00636398"/>
    <w:rsid w:val="00636432"/>
    <w:rsid w:val="006364F1"/>
    <w:rsid w:val="006368D3"/>
    <w:rsid w:val="0063762D"/>
    <w:rsid w:val="006377EC"/>
    <w:rsid w:val="00640405"/>
    <w:rsid w:val="00640890"/>
    <w:rsid w:val="00640A08"/>
    <w:rsid w:val="00640D8D"/>
    <w:rsid w:val="00640EC4"/>
    <w:rsid w:val="00640EFB"/>
    <w:rsid w:val="0064151F"/>
    <w:rsid w:val="00641533"/>
    <w:rsid w:val="0064208D"/>
    <w:rsid w:val="00642F82"/>
    <w:rsid w:val="0064307A"/>
    <w:rsid w:val="00643449"/>
    <w:rsid w:val="00643475"/>
    <w:rsid w:val="0064396A"/>
    <w:rsid w:val="00644C63"/>
    <w:rsid w:val="00645E14"/>
    <w:rsid w:val="00645FB8"/>
    <w:rsid w:val="0064624E"/>
    <w:rsid w:val="00646EB7"/>
    <w:rsid w:val="00647165"/>
    <w:rsid w:val="00647760"/>
    <w:rsid w:val="0064788F"/>
    <w:rsid w:val="00647FC4"/>
    <w:rsid w:val="00650339"/>
    <w:rsid w:val="00650AB9"/>
    <w:rsid w:val="00651C75"/>
    <w:rsid w:val="00651F82"/>
    <w:rsid w:val="0065294A"/>
    <w:rsid w:val="00652EE5"/>
    <w:rsid w:val="006532C0"/>
    <w:rsid w:val="00654867"/>
    <w:rsid w:val="00655733"/>
    <w:rsid w:val="00655ACD"/>
    <w:rsid w:val="00656027"/>
    <w:rsid w:val="00656520"/>
    <w:rsid w:val="00656A92"/>
    <w:rsid w:val="00656D85"/>
    <w:rsid w:val="00656DDE"/>
    <w:rsid w:val="006570A4"/>
    <w:rsid w:val="0065760E"/>
    <w:rsid w:val="00657AE9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1C5A"/>
    <w:rsid w:val="006624DE"/>
    <w:rsid w:val="006627A2"/>
    <w:rsid w:val="00662C02"/>
    <w:rsid w:val="006634E6"/>
    <w:rsid w:val="006637CF"/>
    <w:rsid w:val="006638EE"/>
    <w:rsid w:val="006655EE"/>
    <w:rsid w:val="00665DAE"/>
    <w:rsid w:val="00665E39"/>
    <w:rsid w:val="00665F6A"/>
    <w:rsid w:val="006667FC"/>
    <w:rsid w:val="006669DB"/>
    <w:rsid w:val="00666C80"/>
    <w:rsid w:val="00667821"/>
    <w:rsid w:val="00667EE7"/>
    <w:rsid w:val="00670922"/>
    <w:rsid w:val="00670BE1"/>
    <w:rsid w:val="00670E5F"/>
    <w:rsid w:val="00671A0E"/>
    <w:rsid w:val="0067218F"/>
    <w:rsid w:val="006723DA"/>
    <w:rsid w:val="006741F2"/>
    <w:rsid w:val="0067462F"/>
    <w:rsid w:val="00674A59"/>
    <w:rsid w:val="00674CC3"/>
    <w:rsid w:val="00675564"/>
    <w:rsid w:val="00675C72"/>
    <w:rsid w:val="00676079"/>
    <w:rsid w:val="006762BF"/>
    <w:rsid w:val="00676ECC"/>
    <w:rsid w:val="006771F9"/>
    <w:rsid w:val="00677403"/>
    <w:rsid w:val="006776D7"/>
    <w:rsid w:val="00680ABA"/>
    <w:rsid w:val="00680DDF"/>
    <w:rsid w:val="00681003"/>
    <w:rsid w:val="006817C9"/>
    <w:rsid w:val="00681B07"/>
    <w:rsid w:val="00681B9E"/>
    <w:rsid w:val="00681D7D"/>
    <w:rsid w:val="00683ECE"/>
    <w:rsid w:val="0068429A"/>
    <w:rsid w:val="0068434D"/>
    <w:rsid w:val="006845BD"/>
    <w:rsid w:val="006848CD"/>
    <w:rsid w:val="00684B60"/>
    <w:rsid w:val="00684CDB"/>
    <w:rsid w:val="006858A0"/>
    <w:rsid w:val="00686808"/>
    <w:rsid w:val="00686D5F"/>
    <w:rsid w:val="00686D9A"/>
    <w:rsid w:val="006870C0"/>
    <w:rsid w:val="0069110B"/>
    <w:rsid w:val="0069251C"/>
    <w:rsid w:val="0069334D"/>
    <w:rsid w:val="00693640"/>
    <w:rsid w:val="006949B8"/>
    <w:rsid w:val="00694F13"/>
    <w:rsid w:val="00695164"/>
    <w:rsid w:val="006956BD"/>
    <w:rsid w:val="00695A47"/>
    <w:rsid w:val="00695E22"/>
    <w:rsid w:val="00695FC2"/>
    <w:rsid w:val="00695FD1"/>
    <w:rsid w:val="00696388"/>
    <w:rsid w:val="00696743"/>
    <w:rsid w:val="00696949"/>
    <w:rsid w:val="00696ADC"/>
    <w:rsid w:val="00697052"/>
    <w:rsid w:val="006973E2"/>
    <w:rsid w:val="006978C6"/>
    <w:rsid w:val="00697BDF"/>
    <w:rsid w:val="006A27A3"/>
    <w:rsid w:val="006A2FA2"/>
    <w:rsid w:val="006A3CBE"/>
    <w:rsid w:val="006A3D79"/>
    <w:rsid w:val="006A40AE"/>
    <w:rsid w:val="006A46FB"/>
    <w:rsid w:val="006A49B6"/>
    <w:rsid w:val="006A5024"/>
    <w:rsid w:val="006A5891"/>
    <w:rsid w:val="006A5E28"/>
    <w:rsid w:val="006A6659"/>
    <w:rsid w:val="006A66CF"/>
    <w:rsid w:val="006A697B"/>
    <w:rsid w:val="006A6A1F"/>
    <w:rsid w:val="006A6BCC"/>
    <w:rsid w:val="006A7AFF"/>
    <w:rsid w:val="006A7B05"/>
    <w:rsid w:val="006B16E9"/>
    <w:rsid w:val="006B1816"/>
    <w:rsid w:val="006B1E72"/>
    <w:rsid w:val="006B2099"/>
    <w:rsid w:val="006B2866"/>
    <w:rsid w:val="006B28C6"/>
    <w:rsid w:val="006B3079"/>
    <w:rsid w:val="006B50CF"/>
    <w:rsid w:val="006B51C5"/>
    <w:rsid w:val="006B54E9"/>
    <w:rsid w:val="006B5530"/>
    <w:rsid w:val="006B68A1"/>
    <w:rsid w:val="006B694F"/>
    <w:rsid w:val="006B7DE8"/>
    <w:rsid w:val="006B7E22"/>
    <w:rsid w:val="006C03B8"/>
    <w:rsid w:val="006C0F7A"/>
    <w:rsid w:val="006C14C0"/>
    <w:rsid w:val="006C1B6D"/>
    <w:rsid w:val="006C1CA0"/>
    <w:rsid w:val="006C1F13"/>
    <w:rsid w:val="006C2B2E"/>
    <w:rsid w:val="006C3394"/>
    <w:rsid w:val="006C3E34"/>
    <w:rsid w:val="006C4610"/>
    <w:rsid w:val="006C4B33"/>
    <w:rsid w:val="006C528A"/>
    <w:rsid w:val="006C5368"/>
    <w:rsid w:val="006C5AA4"/>
    <w:rsid w:val="006C5D55"/>
    <w:rsid w:val="006C5EC9"/>
    <w:rsid w:val="006C6059"/>
    <w:rsid w:val="006C6927"/>
    <w:rsid w:val="006C7522"/>
    <w:rsid w:val="006C7F01"/>
    <w:rsid w:val="006D0023"/>
    <w:rsid w:val="006D0D96"/>
    <w:rsid w:val="006D0E36"/>
    <w:rsid w:val="006D1694"/>
    <w:rsid w:val="006D1F71"/>
    <w:rsid w:val="006D2E3B"/>
    <w:rsid w:val="006D326B"/>
    <w:rsid w:val="006D3FD5"/>
    <w:rsid w:val="006D4277"/>
    <w:rsid w:val="006D6137"/>
    <w:rsid w:val="006D69D0"/>
    <w:rsid w:val="006D6EEC"/>
    <w:rsid w:val="006D6F08"/>
    <w:rsid w:val="006D73ED"/>
    <w:rsid w:val="006D79B3"/>
    <w:rsid w:val="006E062C"/>
    <w:rsid w:val="006E0CC5"/>
    <w:rsid w:val="006E0DE6"/>
    <w:rsid w:val="006E28B7"/>
    <w:rsid w:val="006E3079"/>
    <w:rsid w:val="006E3302"/>
    <w:rsid w:val="006E3310"/>
    <w:rsid w:val="006E3E37"/>
    <w:rsid w:val="006E4392"/>
    <w:rsid w:val="006E49A4"/>
    <w:rsid w:val="006E4E39"/>
    <w:rsid w:val="006E551D"/>
    <w:rsid w:val="006E558B"/>
    <w:rsid w:val="006E565E"/>
    <w:rsid w:val="006E56C1"/>
    <w:rsid w:val="006E5BC1"/>
    <w:rsid w:val="006E673D"/>
    <w:rsid w:val="006E68FB"/>
    <w:rsid w:val="006E6BFB"/>
    <w:rsid w:val="006E6FE7"/>
    <w:rsid w:val="006E7B47"/>
    <w:rsid w:val="006E7D3B"/>
    <w:rsid w:val="006F02EF"/>
    <w:rsid w:val="006F0CCB"/>
    <w:rsid w:val="006F1B45"/>
    <w:rsid w:val="006F1B70"/>
    <w:rsid w:val="006F1F43"/>
    <w:rsid w:val="006F23B1"/>
    <w:rsid w:val="006F27D6"/>
    <w:rsid w:val="006F341D"/>
    <w:rsid w:val="006F3A6E"/>
    <w:rsid w:val="006F3CDE"/>
    <w:rsid w:val="006F41D0"/>
    <w:rsid w:val="006F508A"/>
    <w:rsid w:val="006F58D4"/>
    <w:rsid w:val="006F65F6"/>
    <w:rsid w:val="006F72EC"/>
    <w:rsid w:val="00700117"/>
    <w:rsid w:val="007011EE"/>
    <w:rsid w:val="00701983"/>
    <w:rsid w:val="00701CAC"/>
    <w:rsid w:val="007023B0"/>
    <w:rsid w:val="00702852"/>
    <w:rsid w:val="0070346E"/>
    <w:rsid w:val="007034C6"/>
    <w:rsid w:val="007036E6"/>
    <w:rsid w:val="0070378F"/>
    <w:rsid w:val="00703FA2"/>
    <w:rsid w:val="00704EDB"/>
    <w:rsid w:val="0070537F"/>
    <w:rsid w:val="00706101"/>
    <w:rsid w:val="00707072"/>
    <w:rsid w:val="007074FD"/>
    <w:rsid w:val="00707571"/>
    <w:rsid w:val="00707D61"/>
    <w:rsid w:val="0071027F"/>
    <w:rsid w:val="00710CBF"/>
    <w:rsid w:val="00710FBB"/>
    <w:rsid w:val="00711818"/>
    <w:rsid w:val="00712287"/>
    <w:rsid w:val="0071242E"/>
    <w:rsid w:val="00712772"/>
    <w:rsid w:val="00712C4F"/>
    <w:rsid w:val="00712CB9"/>
    <w:rsid w:val="00713141"/>
    <w:rsid w:val="00713419"/>
    <w:rsid w:val="0071380C"/>
    <w:rsid w:val="00713960"/>
    <w:rsid w:val="00713A89"/>
    <w:rsid w:val="00713BF5"/>
    <w:rsid w:val="007148D3"/>
    <w:rsid w:val="00715B9A"/>
    <w:rsid w:val="00716535"/>
    <w:rsid w:val="00716CBB"/>
    <w:rsid w:val="00717F87"/>
    <w:rsid w:val="00720160"/>
    <w:rsid w:val="00720B41"/>
    <w:rsid w:val="00721593"/>
    <w:rsid w:val="00721626"/>
    <w:rsid w:val="00722660"/>
    <w:rsid w:val="00722A5B"/>
    <w:rsid w:val="00722CDD"/>
    <w:rsid w:val="00723F81"/>
    <w:rsid w:val="00724024"/>
    <w:rsid w:val="00724463"/>
    <w:rsid w:val="00724F29"/>
    <w:rsid w:val="00726EA6"/>
    <w:rsid w:val="00727208"/>
    <w:rsid w:val="00727680"/>
    <w:rsid w:val="00727ABB"/>
    <w:rsid w:val="00727E17"/>
    <w:rsid w:val="00727F23"/>
    <w:rsid w:val="0073020A"/>
    <w:rsid w:val="0073085A"/>
    <w:rsid w:val="00730AB1"/>
    <w:rsid w:val="007322A9"/>
    <w:rsid w:val="007327BA"/>
    <w:rsid w:val="00732D07"/>
    <w:rsid w:val="00733B9D"/>
    <w:rsid w:val="00734801"/>
    <w:rsid w:val="007348B1"/>
    <w:rsid w:val="00734B23"/>
    <w:rsid w:val="007354A6"/>
    <w:rsid w:val="007356A4"/>
    <w:rsid w:val="007359AC"/>
    <w:rsid w:val="00735B71"/>
    <w:rsid w:val="00735B9A"/>
    <w:rsid w:val="007360AA"/>
    <w:rsid w:val="007362A6"/>
    <w:rsid w:val="00736D7D"/>
    <w:rsid w:val="0073733D"/>
    <w:rsid w:val="00737BD3"/>
    <w:rsid w:val="00737F85"/>
    <w:rsid w:val="007408F0"/>
    <w:rsid w:val="00740E58"/>
    <w:rsid w:val="00741966"/>
    <w:rsid w:val="00741EB9"/>
    <w:rsid w:val="00742B4F"/>
    <w:rsid w:val="0074386C"/>
    <w:rsid w:val="00743CFA"/>
    <w:rsid w:val="00743E79"/>
    <w:rsid w:val="0074405B"/>
    <w:rsid w:val="007445A0"/>
    <w:rsid w:val="00744A3A"/>
    <w:rsid w:val="0074524B"/>
    <w:rsid w:val="0074576E"/>
    <w:rsid w:val="007457F6"/>
    <w:rsid w:val="007458F5"/>
    <w:rsid w:val="00746BF1"/>
    <w:rsid w:val="00747ADC"/>
    <w:rsid w:val="00747C5C"/>
    <w:rsid w:val="00747D8B"/>
    <w:rsid w:val="0075008C"/>
    <w:rsid w:val="007506AF"/>
    <w:rsid w:val="00751228"/>
    <w:rsid w:val="0075193B"/>
    <w:rsid w:val="007522EA"/>
    <w:rsid w:val="007524C6"/>
    <w:rsid w:val="007531DB"/>
    <w:rsid w:val="0075380A"/>
    <w:rsid w:val="00753DF3"/>
    <w:rsid w:val="00753EFB"/>
    <w:rsid w:val="007541A7"/>
    <w:rsid w:val="0075420F"/>
    <w:rsid w:val="00754B5C"/>
    <w:rsid w:val="00755305"/>
    <w:rsid w:val="00755408"/>
    <w:rsid w:val="00755BC4"/>
    <w:rsid w:val="007571E1"/>
    <w:rsid w:val="007578C3"/>
    <w:rsid w:val="00757DBF"/>
    <w:rsid w:val="007604B2"/>
    <w:rsid w:val="00760BCF"/>
    <w:rsid w:val="00760EE7"/>
    <w:rsid w:val="00760FCB"/>
    <w:rsid w:val="007613CB"/>
    <w:rsid w:val="00761C14"/>
    <w:rsid w:val="00762737"/>
    <w:rsid w:val="00762A6A"/>
    <w:rsid w:val="00762FB8"/>
    <w:rsid w:val="00763069"/>
    <w:rsid w:val="00763AD2"/>
    <w:rsid w:val="00763BC8"/>
    <w:rsid w:val="00764038"/>
    <w:rsid w:val="00764D57"/>
    <w:rsid w:val="00765032"/>
    <w:rsid w:val="007650E0"/>
    <w:rsid w:val="00765281"/>
    <w:rsid w:val="00765316"/>
    <w:rsid w:val="0076549D"/>
    <w:rsid w:val="007656C0"/>
    <w:rsid w:val="0076584E"/>
    <w:rsid w:val="00765899"/>
    <w:rsid w:val="00765FF1"/>
    <w:rsid w:val="00766BAD"/>
    <w:rsid w:val="00766E11"/>
    <w:rsid w:val="0076716C"/>
    <w:rsid w:val="00767BDC"/>
    <w:rsid w:val="00767D3C"/>
    <w:rsid w:val="0077013F"/>
    <w:rsid w:val="007708DF"/>
    <w:rsid w:val="007710B7"/>
    <w:rsid w:val="00771371"/>
    <w:rsid w:val="007717B7"/>
    <w:rsid w:val="007717C0"/>
    <w:rsid w:val="00771DE9"/>
    <w:rsid w:val="007730BD"/>
    <w:rsid w:val="00773BAA"/>
    <w:rsid w:val="00773C0A"/>
    <w:rsid w:val="007750EB"/>
    <w:rsid w:val="0077513F"/>
    <w:rsid w:val="007753B5"/>
    <w:rsid w:val="007755F2"/>
    <w:rsid w:val="00776469"/>
    <w:rsid w:val="00776971"/>
    <w:rsid w:val="00776EAB"/>
    <w:rsid w:val="0077725D"/>
    <w:rsid w:val="00777D77"/>
    <w:rsid w:val="00780BB0"/>
    <w:rsid w:val="00780BFD"/>
    <w:rsid w:val="0078177E"/>
    <w:rsid w:val="007818BE"/>
    <w:rsid w:val="00781CC8"/>
    <w:rsid w:val="00782ABD"/>
    <w:rsid w:val="00782FCE"/>
    <w:rsid w:val="0078304C"/>
    <w:rsid w:val="00783673"/>
    <w:rsid w:val="007836D9"/>
    <w:rsid w:val="0078415D"/>
    <w:rsid w:val="00784795"/>
    <w:rsid w:val="00785004"/>
    <w:rsid w:val="00785490"/>
    <w:rsid w:val="0078549A"/>
    <w:rsid w:val="0079029C"/>
    <w:rsid w:val="00790E12"/>
    <w:rsid w:val="00790F2A"/>
    <w:rsid w:val="007912CF"/>
    <w:rsid w:val="00791DCB"/>
    <w:rsid w:val="00791F25"/>
    <w:rsid w:val="007925EA"/>
    <w:rsid w:val="00793853"/>
    <w:rsid w:val="00793CD8"/>
    <w:rsid w:val="007947DA"/>
    <w:rsid w:val="0079532B"/>
    <w:rsid w:val="00795C92"/>
    <w:rsid w:val="00795DF3"/>
    <w:rsid w:val="00796231"/>
    <w:rsid w:val="00796845"/>
    <w:rsid w:val="00797365"/>
    <w:rsid w:val="007976C6"/>
    <w:rsid w:val="007976E6"/>
    <w:rsid w:val="00797B3F"/>
    <w:rsid w:val="00797DF0"/>
    <w:rsid w:val="007A003B"/>
    <w:rsid w:val="007A0363"/>
    <w:rsid w:val="007A0412"/>
    <w:rsid w:val="007A068F"/>
    <w:rsid w:val="007A099A"/>
    <w:rsid w:val="007A1468"/>
    <w:rsid w:val="007A17BF"/>
    <w:rsid w:val="007A1B4C"/>
    <w:rsid w:val="007A1CB3"/>
    <w:rsid w:val="007A29DA"/>
    <w:rsid w:val="007A2B07"/>
    <w:rsid w:val="007A306F"/>
    <w:rsid w:val="007A3418"/>
    <w:rsid w:val="007A3647"/>
    <w:rsid w:val="007A43A6"/>
    <w:rsid w:val="007A495C"/>
    <w:rsid w:val="007A512A"/>
    <w:rsid w:val="007A58A6"/>
    <w:rsid w:val="007A5FF6"/>
    <w:rsid w:val="007A68B0"/>
    <w:rsid w:val="007A7B60"/>
    <w:rsid w:val="007A7BDD"/>
    <w:rsid w:val="007A7F89"/>
    <w:rsid w:val="007B0FF7"/>
    <w:rsid w:val="007B115B"/>
    <w:rsid w:val="007B16B6"/>
    <w:rsid w:val="007B1925"/>
    <w:rsid w:val="007B1B6A"/>
    <w:rsid w:val="007B1C12"/>
    <w:rsid w:val="007B231D"/>
    <w:rsid w:val="007B2568"/>
    <w:rsid w:val="007B3D2D"/>
    <w:rsid w:val="007B3FDC"/>
    <w:rsid w:val="007B41E4"/>
    <w:rsid w:val="007B5007"/>
    <w:rsid w:val="007B50AE"/>
    <w:rsid w:val="007B5114"/>
    <w:rsid w:val="007B51DF"/>
    <w:rsid w:val="007B53D5"/>
    <w:rsid w:val="007B764B"/>
    <w:rsid w:val="007B7C0C"/>
    <w:rsid w:val="007B7CDE"/>
    <w:rsid w:val="007B7CF7"/>
    <w:rsid w:val="007B7E82"/>
    <w:rsid w:val="007C0054"/>
    <w:rsid w:val="007C05DD"/>
    <w:rsid w:val="007C0646"/>
    <w:rsid w:val="007C0FFA"/>
    <w:rsid w:val="007C1599"/>
    <w:rsid w:val="007C20CC"/>
    <w:rsid w:val="007C28A2"/>
    <w:rsid w:val="007C2DC6"/>
    <w:rsid w:val="007C2F67"/>
    <w:rsid w:val="007C3C3F"/>
    <w:rsid w:val="007C3D18"/>
    <w:rsid w:val="007C590A"/>
    <w:rsid w:val="007C59CA"/>
    <w:rsid w:val="007C60BF"/>
    <w:rsid w:val="007C6A07"/>
    <w:rsid w:val="007C6F3E"/>
    <w:rsid w:val="007C75A1"/>
    <w:rsid w:val="007C75EC"/>
    <w:rsid w:val="007C77A5"/>
    <w:rsid w:val="007C7929"/>
    <w:rsid w:val="007C7CBF"/>
    <w:rsid w:val="007D04E5"/>
    <w:rsid w:val="007D0FCD"/>
    <w:rsid w:val="007D1106"/>
    <w:rsid w:val="007D1626"/>
    <w:rsid w:val="007D1B33"/>
    <w:rsid w:val="007D24CB"/>
    <w:rsid w:val="007D311E"/>
    <w:rsid w:val="007D39B5"/>
    <w:rsid w:val="007D3DA5"/>
    <w:rsid w:val="007D3F4F"/>
    <w:rsid w:val="007D4516"/>
    <w:rsid w:val="007D4A74"/>
    <w:rsid w:val="007D5901"/>
    <w:rsid w:val="007D6096"/>
    <w:rsid w:val="007D6575"/>
    <w:rsid w:val="007D67A1"/>
    <w:rsid w:val="007D6B37"/>
    <w:rsid w:val="007D6C67"/>
    <w:rsid w:val="007D70A2"/>
    <w:rsid w:val="007D7526"/>
    <w:rsid w:val="007D769A"/>
    <w:rsid w:val="007D7FF1"/>
    <w:rsid w:val="007E0505"/>
    <w:rsid w:val="007E0EFE"/>
    <w:rsid w:val="007E1158"/>
    <w:rsid w:val="007E153E"/>
    <w:rsid w:val="007E15E0"/>
    <w:rsid w:val="007E1A2A"/>
    <w:rsid w:val="007E2222"/>
    <w:rsid w:val="007E2BEA"/>
    <w:rsid w:val="007E2F81"/>
    <w:rsid w:val="007E3662"/>
    <w:rsid w:val="007E3A56"/>
    <w:rsid w:val="007E4610"/>
    <w:rsid w:val="007E4715"/>
    <w:rsid w:val="007E48E6"/>
    <w:rsid w:val="007E4B22"/>
    <w:rsid w:val="007E4EB8"/>
    <w:rsid w:val="007E505B"/>
    <w:rsid w:val="007E58DA"/>
    <w:rsid w:val="007E597F"/>
    <w:rsid w:val="007E5C44"/>
    <w:rsid w:val="007E6373"/>
    <w:rsid w:val="007E6FE2"/>
    <w:rsid w:val="007E7047"/>
    <w:rsid w:val="007E7091"/>
    <w:rsid w:val="007F02BB"/>
    <w:rsid w:val="007F0A93"/>
    <w:rsid w:val="007F1564"/>
    <w:rsid w:val="007F2516"/>
    <w:rsid w:val="007F2617"/>
    <w:rsid w:val="007F273B"/>
    <w:rsid w:val="007F2922"/>
    <w:rsid w:val="007F2BA4"/>
    <w:rsid w:val="007F32B2"/>
    <w:rsid w:val="007F3374"/>
    <w:rsid w:val="007F3B89"/>
    <w:rsid w:val="007F3C98"/>
    <w:rsid w:val="007F427A"/>
    <w:rsid w:val="007F4C41"/>
    <w:rsid w:val="007F4DAB"/>
    <w:rsid w:val="007F5018"/>
    <w:rsid w:val="007F64B9"/>
    <w:rsid w:val="007F71CE"/>
    <w:rsid w:val="007F75EF"/>
    <w:rsid w:val="007F77D6"/>
    <w:rsid w:val="0080078F"/>
    <w:rsid w:val="00800AA5"/>
    <w:rsid w:val="008015DF"/>
    <w:rsid w:val="00801F95"/>
    <w:rsid w:val="008020FE"/>
    <w:rsid w:val="00802955"/>
    <w:rsid w:val="008029EE"/>
    <w:rsid w:val="008035AD"/>
    <w:rsid w:val="008035DA"/>
    <w:rsid w:val="008038B5"/>
    <w:rsid w:val="00803E50"/>
    <w:rsid w:val="00803F9A"/>
    <w:rsid w:val="00803FAE"/>
    <w:rsid w:val="00803FC4"/>
    <w:rsid w:val="0080441A"/>
    <w:rsid w:val="008047FC"/>
    <w:rsid w:val="00804A34"/>
    <w:rsid w:val="008054A8"/>
    <w:rsid w:val="008056FB"/>
    <w:rsid w:val="0080605F"/>
    <w:rsid w:val="0080631F"/>
    <w:rsid w:val="00806CEA"/>
    <w:rsid w:val="00806D00"/>
    <w:rsid w:val="00806F4B"/>
    <w:rsid w:val="0080763E"/>
    <w:rsid w:val="00807786"/>
    <w:rsid w:val="008102E6"/>
    <w:rsid w:val="008104DC"/>
    <w:rsid w:val="008107CE"/>
    <w:rsid w:val="008108BD"/>
    <w:rsid w:val="0081132E"/>
    <w:rsid w:val="00811E00"/>
    <w:rsid w:val="00811FCB"/>
    <w:rsid w:val="008120BE"/>
    <w:rsid w:val="0081252B"/>
    <w:rsid w:val="008141E0"/>
    <w:rsid w:val="00815792"/>
    <w:rsid w:val="0081583D"/>
    <w:rsid w:val="008158D6"/>
    <w:rsid w:val="00816061"/>
    <w:rsid w:val="00816ABE"/>
    <w:rsid w:val="00816B4A"/>
    <w:rsid w:val="00817196"/>
    <w:rsid w:val="00817A4D"/>
    <w:rsid w:val="00817C38"/>
    <w:rsid w:val="00817EDE"/>
    <w:rsid w:val="008205DF"/>
    <w:rsid w:val="00820938"/>
    <w:rsid w:val="00820A44"/>
    <w:rsid w:val="008217A8"/>
    <w:rsid w:val="00821E87"/>
    <w:rsid w:val="008229E5"/>
    <w:rsid w:val="008230E6"/>
    <w:rsid w:val="00823367"/>
    <w:rsid w:val="008235DB"/>
    <w:rsid w:val="00823790"/>
    <w:rsid w:val="00824157"/>
    <w:rsid w:val="0082415F"/>
    <w:rsid w:val="00824396"/>
    <w:rsid w:val="008246ED"/>
    <w:rsid w:val="00824AB4"/>
    <w:rsid w:val="00824E9F"/>
    <w:rsid w:val="00825C42"/>
    <w:rsid w:val="00825D25"/>
    <w:rsid w:val="008260BF"/>
    <w:rsid w:val="00826EDA"/>
    <w:rsid w:val="008279C8"/>
    <w:rsid w:val="00827D6F"/>
    <w:rsid w:val="008300C8"/>
    <w:rsid w:val="0083036A"/>
    <w:rsid w:val="008304CD"/>
    <w:rsid w:val="008323D5"/>
    <w:rsid w:val="008329F1"/>
    <w:rsid w:val="00833563"/>
    <w:rsid w:val="008335B1"/>
    <w:rsid w:val="00834972"/>
    <w:rsid w:val="00835327"/>
    <w:rsid w:val="00835DD6"/>
    <w:rsid w:val="008367F2"/>
    <w:rsid w:val="008376AC"/>
    <w:rsid w:val="008379EE"/>
    <w:rsid w:val="00841B0A"/>
    <w:rsid w:val="0084221B"/>
    <w:rsid w:val="008433AF"/>
    <w:rsid w:val="008436F6"/>
    <w:rsid w:val="008437DF"/>
    <w:rsid w:val="0084405D"/>
    <w:rsid w:val="008441EB"/>
    <w:rsid w:val="0084422A"/>
    <w:rsid w:val="008444E8"/>
    <w:rsid w:val="008448B4"/>
    <w:rsid w:val="00844E80"/>
    <w:rsid w:val="00845378"/>
    <w:rsid w:val="0084537C"/>
    <w:rsid w:val="00846090"/>
    <w:rsid w:val="0084614F"/>
    <w:rsid w:val="00846723"/>
    <w:rsid w:val="00846FE7"/>
    <w:rsid w:val="00850246"/>
    <w:rsid w:val="00850CEC"/>
    <w:rsid w:val="00850E36"/>
    <w:rsid w:val="00850E45"/>
    <w:rsid w:val="00850EF8"/>
    <w:rsid w:val="008519C5"/>
    <w:rsid w:val="00851C1E"/>
    <w:rsid w:val="00851D56"/>
    <w:rsid w:val="008522DF"/>
    <w:rsid w:val="00853140"/>
    <w:rsid w:val="00853502"/>
    <w:rsid w:val="008537ED"/>
    <w:rsid w:val="00855B90"/>
    <w:rsid w:val="00855EF4"/>
    <w:rsid w:val="00856498"/>
    <w:rsid w:val="00856911"/>
    <w:rsid w:val="00856C5F"/>
    <w:rsid w:val="008579E5"/>
    <w:rsid w:val="00857FCA"/>
    <w:rsid w:val="00860495"/>
    <w:rsid w:val="00861095"/>
    <w:rsid w:val="00862708"/>
    <w:rsid w:val="00863017"/>
    <w:rsid w:val="008634B3"/>
    <w:rsid w:val="008636C0"/>
    <w:rsid w:val="00863810"/>
    <w:rsid w:val="00863B58"/>
    <w:rsid w:val="00863D18"/>
    <w:rsid w:val="008655C1"/>
    <w:rsid w:val="00865647"/>
    <w:rsid w:val="0086574E"/>
    <w:rsid w:val="008658ED"/>
    <w:rsid w:val="00865D60"/>
    <w:rsid w:val="008669CC"/>
    <w:rsid w:val="00866EC2"/>
    <w:rsid w:val="008677FD"/>
    <w:rsid w:val="008678D2"/>
    <w:rsid w:val="00867B56"/>
    <w:rsid w:val="00867B93"/>
    <w:rsid w:val="00867C7B"/>
    <w:rsid w:val="00870077"/>
    <w:rsid w:val="00870296"/>
    <w:rsid w:val="0087043A"/>
    <w:rsid w:val="008706D4"/>
    <w:rsid w:val="008706E0"/>
    <w:rsid w:val="00870F8A"/>
    <w:rsid w:val="008719A4"/>
    <w:rsid w:val="00871D23"/>
    <w:rsid w:val="008721D4"/>
    <w:rsid w:val="008722F9"/>
    <w:rsid w:val="00872782"/>
    <w:rsid w:val="008727CF"/>
    <w:rsid w:val="008728C4"/>
    <w:rsid w:val="00873C5D"/>
    <w:rsid w:val="00874203"/>
    <w:rsid w:val="00874312"/>
    <w:rsid w:val="0087437C"/>
    <w:rsid w:val="00874405"/>
    <w:rsid w:val="0087445F"/>
    <w:rsid w:val="00874688"/>
    <w:rsid w:val="00875CD7"/>
    <w:rsid w:val="0087608E"/>
    <w:rsid w:val="00876260"/>
    <w:rsid w:val="00876B4D"/>
    <w:rsid w:val="00876D5E"/>
    <w:rsid w:val="00876EDC"/>
    <w:rsid w:val="00876F4E"/>
    <w:rsid w:val="00877F18"/>
    <w:rsid w:val="00880963"/>
    <w:rsid w:val="00880BBE"/>
    <w:rsid w:val="00881496"/>
    <w:rsid w:val="0088201A"/>
    <w:rsid w:val="0088208A"/>
    <w:rsid w:val="0088280E"/>
    <w:rsid w:val="00883154"/>
    <w:rsid w:val="008831AD"/>
    <w:rsid w:val="0088324E"/>
    <w:rsid w:val="00883680"/>
    <w:rsid w:val="00883A4A"/>
    <w:rsid w:val="00884D89"/>
    <w:rsid w:val="00884D9C"/>
    <w:rsid w:val="008850EF"/>
    <w:rsid w:val="00885820"/>
    <w:rsid w:val="0088638F"/>
    <w:rsid w:val="00886784"/>
    <w:rsid w:val="00886A69"/>
    <w:rsid w:val="00886CEF"/>
    <w:rsid w:val="0088730D"/>
    <w:rsid w:val="008878B2"/>
    <w:rsid w:val="0089067A"/>
    <w:rsid w:val="00890930"/>
    <w:rsid w:val="00891466"/>
    <w:rsid w:val="00891B88"/>
    <w:rsid w:val="008929DB"/>
    <w:rsid w:val="008935D9"/>
    <w:rsid w:val="008941DD"/>
    <w:rsid w:val="008947CF"/>
    <w:rsid w:val="00894A88"/>
    <w:rsid w:val="00894C14"/>
    <w:rsid w:val="00894F43"/>
    <w:rsid w:val="00895215"/>
    <w:rsid w:val="00895386"/>
    <w:rsid w:val="008956A6"/>
    <w:rsid w:val="008957FA"/>
    <w:rsid w:val="00895CAA"/>
    <w:rsid w:val="00896439"/>
    <w:rsid w:val="00896572"/>
    <w:rsid w:val="0089699F"/>
    <w:rsid w:val="00896D3D"/>
    <w:rsid w:val="00897065"/>
    <w:rsid w:val="008A08E1"/>
    <w:rsid w:val="008A0E79"/>
    <w:rsid w:val="008A21FF"/>
    <w:rsid w:val="008A2902"/>
    <w:rsid w:val="008A290C"/>
    <w:rsid w:val="008A2CE2"/>
    <w:rsid w:val="008A30AC"/>
    <w:rsid w:val="008A35D4"/>
    <w:rsid w:val="008A3809"/>
    <w:rsid w:val="008A3F81"/>
    <w:rsid w:val="008A41F4"/>
    <w:rsid w:val="008A44B8"/>
    <w:rsid w:val="008A4677"/>
    <w:rsid w:val="008A4CE1"/>
    <w:rsid w:val="008A4D0B"/>
    <w:rsid w:val="008A51A8"/>
    <w:rsid w:val="008A54C7"/>
    <w:rsid w:val="008A5722"/>
    <w:rsid w:val="008A656C"/>
    <w:rsid w:val="008A6A0F"/>
    <w:rsid w:val="008A71A0"/>
    <w:rsid w:val="008A77D8"/>
    <w:rsid w:val="008B0483"/>
    <w:rsid w:val="008B0C02"/>
    <w:rsid w:val="008B120C"/>
    <w:rsid w:val="008B18C9"/>
    <w:rsid w:val="008B1DBA"/>
    <w:rsid w:val="008B2AA7"/>
    <w:rsid w:val="008B2BCE"/>
    <w:rsid w:val="008B350A"/>
    <w:rsid w:val="008B3B59"/>
    <w:rsid w:val="008B5070"/>
    <w:rsid w:val="008B51A0"/>
    <w:rsid w:val="008B54F7"/>
    <w:rsid w:val="008B592A"/>
    <w:rsid w:val="008B5D99"/>
    <w:rsid w:val="008B675A"/>
    <w:rsid w:val="008B69D2"/>
    <w:rsid w:val="008B7B5C"/>
    <w:rsid w:val="008B7BDF"/>
    <w:rsid w:val="008B7CC2"/>
    <w:rsid w:val="008C0281"/>
    <w:rsid w:val="008C0C99"/>
    <w:rsid w:val="008C131D"/>
    <w:rsid w:val="008C2017"/>
    <w:rsid w:val="008C223B"/>
    <w:rsid w:val="008C2398"/>
    <w:rsid w:val="008C24E5"/>
    <w:rsid w:val="008C27E5"/>
    <w:rsid w:val="008C2AAD"/>
    <w:rsid w:val="008C302D"/>
    <w:rsid w:val="008C3B4B"/>
    <w:rsid w:val="008C432E"/>
    <w:rsid w:val="008C4581"/>
    <w:rsid w:val="008C4958"/>
    <w:rsid w:val="008C4BAA"/>
    <w:rsid w:val="008C59D5"/>
    <w:rsid w:val="008C6AE8"/>
    <w:rsid w:val="008C741D"/>
    <w:rsid w:val="008C7521"/>
    <w:rsid w:val="008C7573"/>
    <w:rsid w:val="008C7783"/>
    <w:rsid w:val="008C7FBB"/>
    <w:rsid w:val="008D02F5"/>
    <w:rsid w:val="008D0DB1"/>
    <w:rsid w:val="008D0DDA"/>
    <w:rsid w:val="008D0DED"/>
    <w:rsid w:val="008D1321"/>
    <w:rsid w:val="008D16BE"/>
    <w:rsid w:val="008D285F"/>
    <w:rsid w:val="008D2B69"/>
    <w:rsid w:val="008D2EB2"/>
    <w:rsid w:val="008D34F1"/>
    <w:rsid w:val="008D39D8"/>
    <w:rsid w:val="008D491D"/>
    <w:rsid w:val="008D4E14"/>
    <w:rsid w:val="008D4F4A"/>
    <w:rsid w:val="008D52DC"/>
    <w:rsid w:val="008D56B3"/>
    <w:rsid w:val="008D62F3"/>
    <w:rsid w:val="008D6B97"/>
    <w:rsid w:val="008D6D1A"/>
    <w:rsid w:val="008D6F18"/>
    <w:rsid w:val="008D727B"/>
    <w:rsid w:val="008D7330"/>
    <w:rsid w:val="008E029F"/>
    <w:rsid w:val="008E065E"/>
    <w:rsid w:val="008E0702"/>
    <w:rsid w:val="008E0927"/>
    <w:rsid w:val="008E1329"/>
    <w:rsid w:val="008E186F"/>
    <w:rsid w:val="008E1909"/>
    <w:rsid w:val="008E19D0"/>
    <w:rsid w:val="008E2644"/>
    <w:rsid w:val="008E2E60"/>
    <w:rsid w:val="008E3B61"/>
    <w:rsid w:val="008E3D3E"/>
    <w:rsid w:val="008E44B8"/>
    <w:rsid w:val="008E4C26"/>
    <w:rsid w:val="008E4F13"/>
    <w:rsid w:val="008E5145"/>
    <w:rsid w:val="008E5253"/>
    <w:rsid w:val="008E5E0C"/>
    <w:rsid w:val="008E5F79"/>
    <w:rsid w:val="008E60AF"/>
    <w:rsid w:val="008E7BB2"/>
    <w:rsid w:val="008E7F71"/>
    <w:rsid w:val="008F04D1"/>
    <w:rsid w:val="008F087B"/>
    <w:rsid w:val="008F0B44"/>
    <w:rsid w:val="008F0C17"/>
    <w:rsid w:val="008F1348"/>
    <w:rsid w:val="008F1749"/>
    <w:rsid w:val="008F1DE4"/>
    <w:rsid w:val="008F1EAB"/>
    <w:rsid w:val="008F1FDC"/>
    <w:rsid w:val="008F2133"/>
    <w:rsid w:val="008F29DD"/>
    <w:rsid w:val="008F2BBF"/>
    <w:rsid w:val="008F33DC"/>
    <w:rsid w:val="008F3EAC"/>
    <w:rsid w:val="008F40F2"/>
    <w:rsid w:val="008F44AF"/>
    <w:rsid w:val="008F477F"/>
    <w:rsid w:val="008F4EBB"/>
    <w:rsid w:val="008F5E2E"/>
    <w:rsid w:val="008F600C"/>
    <w:rsid w:val="008F6520"/>
    <w:rsid w:val="008F6AB2"/>
    <w:rsid w:val="008F734E"/>
    <w:rsid w:val="008F7845"/>
    <w:rsid w:val="009008F4"/>
    <w:rsid w:val="00900E50"/>
    <w:rsid w:val="009016CE"/>
    <w:rsid w:val="00901A60"/>
    <w:rsid w:val="00902350"/>
    <w:rsid w:val="009029B6"/>
    <w:rsid w:val="00902E42"/>
    <w:rsid w:val="0090336B"/>
    <w:rsid w:val="009038A0"/>
    <w:rsid w:val="00904D21"/>
    <w:rsid w:val="009053AA"/>
    <w:rsid w:val="00905736"/>
    <w:rsid w:val="00905E82"/>
    <w:rsid w:val="00906102"/>
    <w:rsid w:val="009061DE"/>
    <w:rsid w:val="009063D5"/>
    <w:rsid w:val="00906606"/>
    <w:rsid w:val="0090683C"/>
    <w:rsid w:val="00906939"/>
    <w:rsid w:val="009075B9"/>
    <w:rsid w:val="00907DB8"/>
    <w:rsid w:val="0091039D"/>
    <w:rsid w:val="00910B7D"/>
    <w:rsid w:val="00910FE6"/>
    <w:rsid w:val="00911DFB"/>
    <w:rsid w:val="00911F5A"/>
    <w:rsid w:val="009135B9"/>
    <w:rsid w:val="009139D9"/>
    <w:rsid w:val="009140E8"/>
    <w:rsid w:val="0091463A"/>
    <w:rsid w:val="0091494B"/>
    <w:rsid w:val="00914AD8"/>
    <w:rsid w:val="00914BCD"/>
    <w:rsid w:val="00915172"/>
    <w:rsid w:val="00915D25"/>
    <w:rsid w:val="0091601E"/>
    <w:rsid w:val="00916079"/>
    <w:rsid w:val="00916E73"/>
    <w:rsid w:val="009170FD"/>
    <w:rsid w:val="00917468"/>
    <w:rsid w:val="00917776"/>
    <w:rsid w:val="00917CE9"/>
    <w:rsid w:val="0092094A"/>
    <w:rsid w:val="00920BF2"/>
    <w:rsid w:val="00922010"/>
    <w:rsid w:val="0092314B"/>
    <w:rsid w:val="009234A3"/>
    <w:rsid w:val="00923A4E"/>
    <w:rsid w:val="00923D67"/>
    <w:rsid w:val="00924DAC"/>
    <w:rsid w:val="009252AA"/>
    <w:rsid w:val="009265E0"/>
    <w:rsid w:val="00926913"/>
    <w:rsid w:val="00926BF5"/>
    <w:rsid w:val="00926DC9"/>
    <w:rsid w:val="00926FEF"/>
    <w:rsid w:val="0092740D"/>
    <w:rsid w:val="00927E6D"/>
    <w:rsid w:val="00930200"/>
    <w:rsid w:val="00931755"/>
    <w:rsid w:val="00931BD9"/>
    <w:rsid w:val="0093274D"/>
    <w:rsid w:val="00932DEF"/>
    <w:rsid w:val="00933C91"/>
    <w:rsid w:val="00933D08"/>
    <w:rsid w:val="00933E23"/>
    <w:rsid w:val="00933FB2"/>
    <w:rsid w:val="0093580B"/>
    <w:rsid w:val="00935A04"/>
    <w:rsid w:val="00935DB8"/>
    <w:rsid w:val="0093607B"/>
    <w:rsid w:val="009368F3"/>
    <w:rsid w:val="00936A53"/>
    <w:rsid w:val="00936C07"/>
    <w:rsid w:val="00936DED"/>
    <w:rsid w:val="009373EA"/>
    <w:rsid w:val="009374D1"/>
    <w:rsid w:val="009403AC"/>
    <w:rsid w:val="009403F9"/>
    <w:rsid w:val="00940480"/>
    <w:rsid w:val="0094067B"/>
    <w:rsid w:val="009413E8"/>
    <w:rsid w:val="00941636"/>
    <w:rsid w:val="00941D35"/>
    <w:rsid w:val="00942B95"/>
    <w:rsid w:val="00943742"/>
    <w:rsid w:val="00943B2F"/>
    <w:rsid w:val="009443C0"/>
    <w:rsid w:val="00944446"/>
    <w:rsid w:val="009459A6"/>
    <w:rsid w:val="00945C05"/>
    <w:rsid w:val="00945CC6"/>
    <w:rsid w:val="00946945"/>
    <w:rsid w:val="00946CFD"/>
    <w:rsid w:val="00947713"/>
    <w:rsid w:val="009477A4"/>
    <w:rsid w:val="00947F3B"/>
    <w:rsid w:val="0095011B"/>
    <w:rsid w:val="009507EF"/>
    <w:rsid w:val="0095086D"/>
    <w:rsid w:val="00950DE7"/>
    <w:rsid w:val="0095103E"/>
    <w:rsid w:val="00952130"/>
    <w:rsid w:val="009522A6"/>
    <w:rsid w:val="00952748"/>
    <w:rsid w:val="009528F9"/>
    <w:rsid w:val="00953539"/>
    <w:rsid w:val="00953920"/>
    <w:rsid w:val="00953D47"/>
    <w:rsid w:val="0095412A"/>
    <w:rsid w:val="009545E8"/>
    <w:rsid w:val="00954673"/>
    <w:rsid w:val="00955E64"/>
    <w:rsid w:val="0095681E"/>
    <w:rsid w:val="00956CCC"/>
    <w:rsid w:val="009570A5"/>
    <w:rsid w:val="009572D4"/>
    <w:rsid w:val="009573E3"/>
    <w:rsid w:val="00957C1F"/>
    <w:rsid w:val="00957DC0"/>
    <w:rsid w:val="00960040"/>
    <w:rsid w:val="00960A25"/>
    <w:rsid w:val="00961767"/>
    <w:rsid w:val="00961901"/>
    <w:rsid w:val="00961921"/>
    <w:rsid w:val="009625DE"/>
    <w:rsid w:val="00962A69"/>
    <w:rsid w:val="00962ED2"/>
    <w:rsid w:val="0096346D"/>
    <w:rsid w:val="00963DDB"/>
    <w:rsid w:val="009640A5"/>
    <w:rsid w:val="0096430A"/>
    <w:rsid w:val="00964919"/>
    <w:rsid w:val="009649F4"/>
    <w:rsid w:val="009652F7"/>
    <w:rsid w:val="0096548A"/>
    <w:rsid w:val="0096554B"/>
    <w:rsid w:val="0096584A"/>
    <w:rsid w:val="00965E60"/>
    <w:rsid w:val="00966A27"/>
    <w:rsid w:val="00966D80"/>
    <w:rsid w:val="00966F0D"/>
    <w:rsid w:val="00970C11"/>
    <w:rsid w:val="00970C44"/>
    <w:rsid w:val="00971898"/>
    <w:rsid w:val="00971C28"/>
    <w:rsid w:val="00971F08"/>
    <w:rsid w:val="0097256C"/>
    <w:rsid w:val="0097266D"/>
    <w:rsid w:val="00973057"/>
    <w:rsid w:val="00974CDA"/>
    <w:rsid w:val="00975113"/>
    <w:rsid w:val="009753B1"/>
    <w:rsid w:val="00975577"/>
    <w:rsid w:val="00975EA2"/>
    <w:rsid w:val="0097603D"/>
    <w:rsid w:val="00976949"/>
    <w:rsid w:val="0097720D"/>
    <w:rsid w:val="00977ACF"/>
    <w:rsid w:val="00980477"/>
    <w:rsid w:val="00980493"/>
    <w:rsid w:val="00980C74"/>
    <w:rsid w:val="00981623"/>
    <w:rsid w:val="00981A92"/>
    <w:rsid w:val="0098201E"/>
    <w:rsid w:val="00983176"/>
    <w:rsid w:val="00984714"/>
    <w:rsid w:val="00985253"/>
    <w:rsid w:val="009853B3"/>
    <w:rsid w:val="0098567E"/>
    <w:rsid w:val="00985C6D"/>
    <w:rsid w:val="009871CF"/>
    <w:rsid w:val="0098760A"/>
    <w:rsid w:val="00990630"/>
    <w:rsid w:val="00990994"/>
    <w:rsid w:val="00990EB7"/>
    <w:rsid w:val="00991761"/>
    <w:rsid w:val="00991D44"/>
    <w:rsid w:val="00992B04"/>
    <w:rsid w:val="00992F32"/>
    <w:rsid w:val="00993092"/>
    <w:rsid w:val="0099366C"/>
    <w:rsid w:val="00993A69"/>
    <w:rsid w:val="009945D7"/>
    <w:rsid w:val="00994DCA"/>
    <w:rsid w:val="009960EC"/>
    <w:rsid w:val="009968FC"/>
    <w:rsid w:val="0099691A"/>
    <w:rsid w:val="009970DD"/>
    <w:rsid w:val="009A046E"/>
    <w:rsid w:val="009A0C7C"/>
    <w:rsid w:val="009A0FBA"/>
    <w:rsid w:val="009A1601"/>
    <w:rsid w:val="009A1C02"/>
    <w:rsid w:val="009A1EDE"/>
    <w:rsid w:val="009A1FBB"/>
    <w:rsid w:val="009A215F"/>
    <w:rsid w:val="009A2981"/>
    <w:rsid w:val="009A34B0"/>
    <w:rsid w:val="009A36C8"/>
    <w:rsid w:val="009A4073"/>
    <w:rsid w:val="009A40D8"/>
    <w:rsid w:val="009A462D"/>
    <w:rsid w:val="009A5CBA"/>
    <w:rsid w:val="009A73C2"/>
    <w:rsid w:val="009A7F84"/>
    <w:rsid w:val="009B03DB"/>
    <w:rsid w:val="009B1104"/>
    <w:rsid w:val="009B196C"/>
    <w:rsid w:val="009B1F30"/>
    <w:rsid w:val="009B2CD2"/>
    <w:rsid w:val="009B301E"/>
    <w:rsid w:val="009B31AE"/>
    <w:rsid w:val="009B327D"/>
    <w:rsid w:val="009B3346"/>
    <w:rsid w:val="009B3AC2"/>
    <w:rsid w:val="009B43EA"/>
    <w:rsid w:val="009B499E"/>
    <w:rsid w:val="009B4DF4"/>
    <w:rsid w:val="009B4E12"/>
    <w:rsid w:val="009B564E"/>
    <w:rsid w:val="009B5651"/>
    <w:rsid w:val="009B5D3F"/>
    <w:rsid w:val="009B5DD5"/>
    <w:rsid w:val="009B5F2C"/>
    <w:rsid w:val="009B64AC"/>
    <w:rsid w:val="009B7243"/>
    <w:rsid w:val="009B72A3"/>
    <w:rsid w:val="009B7885"/>
    <w:rsid w:val="009B7C77"/>
    <w:rsid w:val="009B7D00"/>
    <w:rsid w:val="009B7E87"/>
    <w:rsid w:val="009B7EF8"/>
    <w:rsid w:val="009C02B6"/>
    <w:rsid w:val="009C0A6B"/>
    <w:rsid w:val="009C0F39"/>
    <w:rsid w:val="009C0F5D"/>
    <w:rsid w:val="009C1CD6"/>
    <w:rsid w:val="009C2978"/>
    <w:rsid w:val="009C2DB2"/>
    <w:rsid w:val="009C2F59"/>
    <w:rsid w:val="009C3212"/>
    <w:rsid w:val="009C33C1"/>
    <w:rsid w:val="009C4004"/>
    <w:rsid w:val="009C403E"/>
    <w:rsid w:val="009C438E"/>
    <w:rsid w:val="009C4756"/>
    <w:rsid w:val="009C49EC"/>
    <w:rsid w:val="009C51E5"/>
    <w:rsid w:val="009C53E2"/>
    <w:rsid w:val="009C57FC"/>
    <w:rsid w:val="009C5FE2"/>
    <w:rsid w:val="009C6AE7"/>
    <w:rsid w:val="009C6EC1"/>
    <w:rsid w:val="009C72C8"/>
    <w:rsid w:val="009C772C"/>
    <w:rsid w:val="009D0183"/>
    <w:rsid w:val="009D182E"/>
    <w:rsid w:val="009D19F7"/>
    <w:rsid w:val="009D211D"/>
    <w:rsid w:val="009D2407"/>
    <w:rsid w:val="009D27C9"/>
    <w:rsid w:val="009D287D"/>
    <w:rsid w:val="009D2C05"/>
    <w:rsid w:val="009D32C1"/>
    <w:rsid w:val="009D3331"/>
    <w:rsid w:val="009D4199"/>
    <w:rsid w:val="009D4CB5"/>
    <w:rsid w:val="009D4FEC"/>
    <w:rsid w:val="009D4FF0"/>
    <w:rsid w:val="009D51B1"/>
    <w:rsid w:val="009D555B"/>
    <w:rsid w:val="009D60A1"/>
    <w:rsid w:val="009D6346"/>
    <w:rsid w:val="009D65ED"/>
    <w:rsid w:val="009D6CA2"/>
    <w:rsid w:val="009D703C"/>
    <w:rsid w:val="009D718F"/>
    <w:rsid w:val="009D742E"/>
    <w:rsid w:val="009D7EAD"/>
    <w:rsid w:val="009E01BA"/>
    <w:rsid w:val="009E068F"/>
    <w:rsid w:val="009E12E2"/>
    <w:rsid w:val="009E14E0"/>
    <w:rsid w:val="009E14EA"/>
    <w:rsid w:val="009E14F2"/>
    <w:rsid w:val="009E27ED"/>
    <w:rsid w:val="009E2AAE"/>
    <w:rsid w:val="009E301B"/>
    <w:rsid w:val="009E357E"/>
    <w:rsid w:val="009E35DB"/>
    <w:rsid w:val="009E465C"/>
    <w:rsid w:val="009E47A3"/>
    <w:rsid w:val="009E56DA"/>
    <w:rsid w:val="009E5775"/>
    <w:rsid w:val="009E6FDD"/>
    <w:rsid w:val="009E743D"/>
    <w:rsid w:val="009E78AE"/>
    <w:rsid w:val="009F08F3"/>
    <w:rsid w:val="009F1D4F"/>
    <w:rsid w:val="009F1ECE"/>
    <w:rsid w:val="009F2A95"/>
    <w:rsid w:val="009F2D53"/>
    <w:rsid w:val="009F344F"/>
    <w:rsid w:val="009F3727"/>
    <w:rsid w:val="009F405F"/>
    <w:rsid w:val="009F4134"/>
    <w:rsid w:val="009F419F"/>
    <w:rsid w:val="009F438B"/>
    <w:rsid w:val="009F5DC6"/>
    <w:rsid w:val="009F5FEE"/>
    <w:rsid w:val="009F60CA"/>
    <w:rsid w:val="009F6577"/>
    <w:rsid w:val="009F66A1"/>
    <w:rsid w:val="009F67E8"/>
    <w:rsid w:val="009F7528"/>
    <w:rsid w:val="009F7E16"/>
    <w:rsid w:val="00A0064F"/>
    <w:rsid w:val="00A00A12"/>
    <w:rsid w:val="00A00B32"/>
    <w:rsid w:val="00A0143D"/>
    <w:rsid w:val="00A01A68"/>
    <w:rsid w:val="00A01F05"/>
    <w:rsid w:val="00A02A43"/>
    <w:rsid w:val="00A02BAC"/>
    <w:rsid w:val="00A02C1E"/>
    <w:rsid w:val="00A02E5D"/>
    <w:rsid w:val="00A02F75"/>
    <w:rsid w:val="00A031C7"/>
    <w:rsid w:val="00A037D6"/>
    <w:rsid w:val="00A048A8"/>
    <w:rsid w:val="00A04CEE"/>
    <w:rsid w:val="00A04ED3"/>
    <w:rsid w:val="00A04F49"/>
    <w:rsid w:val="00A05F2D"/>
    <w:rsid w:val="00A064CA"/>
    <w:rsid w:val="00A06C98"/>
    <w:rsid w:val="00A07067"/>
    <w:rsid w:val="00A07372"/>
    <w:rsid w:val="00A076A8"/>
    <w:rsid w:val="00A1049F"/>
    <w:rsid w:val="00A1082A"/>
    <w:rsid w:val="00A10DB8"/>
    <w:rsid w:val="00A129D7"/>
    <w:rsid w:val="00A13090"/>
    <w:rsid w:val="00A13263"/>
    <w:rsid w:val="00A13645"/>
    <w:rsid w:val="00A13E54"/>
    <w:rsid w:val="00A142A1"/>
    <w:rsid w:val="00A15202"/>
    <w:rsid w:val="00A1637F"/>
    <w:rsid w:val="00A17F63"/>
    <w:rsid w:val="00A2076E"/>
    <w:rsid w:val="00A208E1"/>
    <w:rsid w:val="00A20C10"/>
    <w:rsid w:val="00A2193B"/>
    <w:rsid w:val="00A21A0C"/>
    <w:rsid w:val="00A2270D"/>
    <w:rsid w:val="00A2308F"/>
    <w:rsid w:val="00A23505"/>
    <w:rsid w:val="00A2351A"/>
    <w:rsid w:val="00A235F6"/>
    <w:rsid w:val="00A236D7"/>
    <w:rsid w:val="00A2526E"/>
    <w:rsid w:val="00A2547F"/>
    <w:rsid w:val="00A25C14"/>
    <w:rsid w:val="00A25FC7"/>
    <w:rsid w:val="00A264A9"/>
    <w:rsid w:val="00A26D81"/>
    <w:rsid w:val="00A2733C"/>
    <w:rsid w:val="00A27785"/>
    <w:rsid w:val="00A27A52"/>
    <w:rsid w:val="00A30187"/>
    <w:rsid w:val="00A317DE"/>
    <w:rsid w:val="00A3373F"/>
    <w:rsid w:val="00A33B8B"/>
    <w:rsid w:val="00A3448A"/>
    <w:rsid w:val="00A34A9F"/>
    <w:rsid w:val="00A34ABA"/>
    <w:rsid w:val="00A34E68"/>
    <w:rsid w:val="00A34EB7"/>
    <w:rsid w:val="00A357DA"/>
    <w:rsid w:val="00A3604C"/>
    <w:rsid w:val="00A3615C"/>
    <w:rsid w:val="00A36185"/>
    <w:rsid w:val="00A3627E"/>
    <w:rsid w:val="00A36297"/>
    <w:rsid w:val="00A3661F"/>
    <w:rsid w:val="00A378C3"/>
    <w:rsid w:val="00A37D78"/>
    <w:rsid w:val="00A40104"/>
    <w:rsid w:val="00A40236"/>
    <w:rsid w:val="00A4107B"/>
    <w:rsid w:val="00A412D6"/>
    <w:rsid w:val="00A418DC"/>
    <w:rsid w:val="00A4198B"/>
    <w:rsid w:val="00A41E2B"/>
    <w:rsid w:val="00A41FE1"/>
    <w:rsid w:val="00A42590"/>
    <w:rsid w:val="00A42DDA"/>
    <w:rsid w:val="00A438D0"/>
    <w:rsid w:val="00A4423C"/>
    <w:rsid w:val="00A449B7"/>
    <w:rsid w:val="00A44FA0"/>
    <w:rsid w:val="00A452F0"/>
    <w:rsid w:val="00A4533E"/>
    <w:rsid w:val="00A45B74"/>
    <w:rsid w:val="00A45B89"/>
    <w:rsid w:val="00A45F84"/>
    <w:rsid w:val="00A461C9"/>
    <w:rsid w:val="00A4635D"/>
    <w:rsid w:val="00A4779D"/>
    <w:rsid w:val="00A47905"/>
    <w:rsid w:val="00A47CBF"/>
    <w:rsid w:val="00A50132"/>
    <w:rsid w:val="00A501A4"/>
    <w:rsid w:val="00A503F0"/>
    <w:rsid w:val="00A50796"/>
    <w:rsid w:val="00A50A80"/>
    <w:rsid w:val="00A51466"/>
    <w:rsid w:val="00A51568"/>
    <w:rsid w:val="00A5182C"/>
    <w:rsid w:val="00A51F90"/>
    <w:rsid w:val="00A51FFF"/>
    <w:rsid w:val="00A5264C"/>
    <w:rsid w:val="00A528A5"/>
    <w:rsid w:val="00A52965"/>
    <w:rsid w:val="00A52B50"/>
    <w:rsid w:val="00A52E1D"/>
    <w:rsid w:val="00A5394A"/>
    <w:rsid w:val="00A53AC2"/>
    <w:rsid w:val="00A53B7A"/>
    <w:rsid w:val="00A53D44"/>
    <w:rsid w:val="00A547B4"/>
    <w:rsid w:val="00A54AD4"/>
    <w:rsid w:val="00A56508"/>
    <w:rsid w:val="00A56A78"/>
    <w:rsid w:val="00A60117"/>
    <w:rsid w:val="00A61255"/>
    <w:rsid w:val="00A612BD"/>
    <w:rsid w:val="00A61359"/>
    <w:rsid w:val="00A61499"/>
    <w:rsid w:val="00A61504"/>
    <w:rsid w:val="00A6265F"/>
    <w:rsid w:val="00A626D1"/>
    <w:rsid w:val="00A62A77"/>
    <w:rsid w:val="00A62ECE"/>
    <w:rsid w:val="00A63089"/>
    <w:rsid w:val="00A63483"/>
    <w:rsid w:val="00A63542"/>
    <w:rsid w:val="00A6363A"/>
    <w:rsid w:val="00A6366C"/>
    <w:rsid w:val="00A640A8"/>
    <w:rsid w:val="00A6549C"/>
    <w:rsid w:val="00A655CB"/>
    <w:rsid w:val="00A657D7"/>
    <w:rsid w:val="00A65B19"/>
    <w:rsid w:val="00A65BD0"/>
    <w:rsid w:val="00A65D66"/>
    <w:rsid w:val="00A660AC"/>
    <w:rsid w:val="00A661BB"/>
    <w:rsid w:val="00A665EB"/>
    <w:rsid w:val="00A6671D"/>
    <w:rsid w:val="00A66A79"/>
    <w:rsid w:val="00A66DE5"/>
    <w:rsid w:val="00A67C37"/>
    <w:rsid w:val="00A67E6C"/>
    <w:rsid w:val="00A70177"/>
    <w:rsid w:val="00A706FC"/>
    <w:rsid w:val="00A708C4"/>
    <w:rsid w:val="00A70939"/>
    <w:rsid w:val="00A70A54"/>
    <w:rsid w:val="00A70AE9"/>
    <w:rsid w:val="00A70D64"/>
    <w:rsid w:val="00A70FAC"/>
    <w:rsid w:val="00A712B4"/>
    <w:rsid w:val="00A71B99"/>
    <w:rsid w:val="00A71C29"/>
    <w:rsid w:val="00A72BC9"/>
    <w:rsid w:val="00A739D0"/>
    <w:rsid w:val="00A73EA4"/>
    <w:rsid w:val="00A7594A"/>
    <w:rsid w:val="00A75BED"/>
    <w:rsid w:val="00A761D4"/>
    <w:rsid w:val="00A764CE"/>
    <w:rsid w:val="00A775EC"/>
    <w:rsid w:val="00A7763F"/>
    <w:rsid w:val="00A7767A"/>
    <w:rsid w:val="00A77BEA"/>
    <w:rsid w:val="00A77EC4"/>
    <w:rsid w:val="00A8022F"/>
    <w:rsid w:val="00A80441"/>
    <w:rsid w:val="00A805FD"/>
    <w:rsid w:val="00A81167"/>
    <w:rsid w:val="00A815C2"/>
    <w:rsid w:val="00A81C2A"/>
    <w:rsid w:val="00A832A1"/>
    <w:rsid w:val="00A833AA"/>
    <w:rsid w:val="00A83903"/>
    <w:rsid w:val="00A83E38"/>
    <w:rsid w:val="00A843A1"/>
    <w:rsid w:val="00A84B27"/>
    <w:rsid w:val="00A85053"/>
    <w:rsid w:val="00A85DC7"/>
    <w:rsid w:val="00A86000"/>
    <w:rsid w:val="00A8712F"/>
    <w:rsid w:val="00A87910"/>
    <w:rsid w:val="00A90248"/>
    <w:rsid w:val="00A916C9"/>
    <w:rsid w:val="00A91C62"/>
    <w:rsid w:val="00A92879"/>
    <w:rsid w:val="00A92908"/>
    <w:rsid w:val="00A92C7A"/>
    <w:rsid w:val="00A93694"/>
    <w:rsid w:val="00A93A0D"/>
    <w:rsid w:val="00A93DC5"/>
    <w:rsid w:val="00A94311"/>
    <w:rsid w:val="00A9442A"/>
    <w:rsid w:val="00A94666"/>
    <w:rsid w:val="00A947F0"/>
    <w:rsid w:val="00A94F68"/>
    <w:rsid w:val="00A95C1F"/>
    <w:rsid w:val="00A9621D"/>
    <w:rsid w:val="00A968E5"/>
    <w:rsid w:val="00A97225"/>
    <w:rsid w:val="00A97559"/>
    <w:rsid w:val="00A97966"/>
    <w:rsid w:val="00A979B2"/>
    <w:rsid w:val="00AA016F"/>
    <w:rsid w:val="00AA0284"/>
    <w:rsid w:val="00AA0F1B"/>
    <w:rsid w:val="00AA1040"/>
    <w:rsid w:val="00AA1ED6"/>
    <w:rsid w:val="00AA21EC"/>
    <w:rsid w:val="00AA23D1"/>
    <w:rsid w:val="00AA260C"/>
    <w:rsid w:val="00AA2A50"/>
    <w:rsid w:val="00AA35BF"/>
    <w:rsid w:val="00AA4279"/>
    <w:rsid w:val="00AA5148"/>
    <w:rsid w:val="00AA51D6"/>
    <w:rsid w:val="00AA6170"/>
    <w:rsid w:val="00AA63BA"/>
    <w:rsid w:val="00AA6A03"/>
    <w:rsid w:val="00AA76E8"/>
    <w:rsid w:val="00AA7C94"/>
    <w:rsid w:val="00AA7EA1"/>
    <w:rsid w:val="00AB017F"/>
    <w:rsid w:val="00AB0427"/>
    <w:rsid w:val="00AB0BC8"/>
    <w:rsid w:val="00AB10DA"/>
    <w:rsid w:val="00AB11CA"/>
    <w:rsid w:val="00AB14D9"/>
    <w:rsid w:val="00AB1841"/>
    <w:rsid w:val="00AB2C88"/>
    <w:rsid w:val="00AB3C41"/>
    <w:rsid w:val="00AB42FD"/>
    <w:rsid w:val="00AB4AB8"/>
    <w:rsid w:val="00AB54D8"/>
    <w:rsid w:val="00AB570F"/>
    <w:rsid w:val="00AB5CFE"/>
    <w:rsid w:val="00AB655E"/>
    <w:rsid w:val="00AC007F"/>
    <w:rsid w:val="00AC0B5B"/>
    <w:rsid w:val="00AC0C28"/>
    <w:rsid w:val="00AC186D"/>
    <w:rsid w:val="00AC1A3D"/>
    <w:rsid w:val="00AC1E2A"/>
    <w:rsid w:val="00AC2348"/>
    <w:rsid w:val="00AC2649"/>
    <w:rsid w:val="00AC2CF1"/>
    <w:rsid w:val="00AC2ECD"/>
    <w:rsid w:val="00AC3119"/>
    <w:rsid w:val="00AC33AD"/>
    <w:rsid w:val="00AC3A72"/>
    <w:rsid w:val="00AC49FB"/>
    <w:rsid w:val="00AC4E22"/>
    <w:rsid w:val="00AC4FAD"/>
    <w:rsid w:val="00AC508A"/>
    <w:rsid w:val="00AC5692"/>
    <w:rsid w:val="00AC5A10"/>
    <w:rsid w:val="00AC5E0D"/>
    <w:rsid w:val="00AC5E23"/>
    <w:rsid w:val="00AC6024"/>
    <w:rsid w:val="00AC7016"/>
    <w:rsid w:val="00AC70FB"/>
    <w:rsid w:val="00AC7DF1"/>
    <w:rsid w:val="00AC7F5F"/>
    <w:rsid w:val="00AD0182"/>
    <w:rsid w:val="00AD0201"/>
    <w:rsid w:val="00AD0AA3"/>
    <w:rsid w:val="00AD0F52"/>
    <w:rsid w:val="00AD1952"/>
    <w:rsid w:val="00AD1E34"/>
    <w:rsid w:val="00AD22F7"/>
    <w:rsid w:val="00AD2496"/>
    <w:rsid w:val="00AD2B26"/>
    <w:rsid w:val="00AD3069"/>
    <w:rsid w:val="00AD388C"/>
    <w:rsid w:val="00AD3F90"/>
    <w:rsid w:val="00AD3F94"/>
    <w:rsid w:val="00AD4667"/>
    <w:rsid w:val="00AD4A5A"/>
    <w:rsid w:val="00AD5754"/>
    <w:rsid w:val="00AD5C36"/>
    <w:rsid w:val="00AD6192"/>
    <w:rsid w:val="00AD679B"/>
    <w:rsid w:val="00AD67FE"/>
    <w:rsid w:val="00AD6CE0"/>
    <w:rsid w:val="00AD746D"/>
    <w:rsid w:val="00AD74B4"/>
    <w:rsid w:val="00AE138B"/>
    <w:rsid w:val="00AE1904"/>
    <w:rsid w:val="00AE1AEC"/>
    <w:rsid w:val="00AE1C83"/>
    <w:rsid w:val="00AE2665"/>
    <w:rsid w:val="00AE27AC"/>
    <w:rsid w:val="00AE27E4"/>
    <w:rsid w:val="00AE2A62"/>
    <w:rsid w:val="00AE2D11"/>
    <w:rsid w:val="00AE2E30"/>
    <w:rsid w:val="00AE3A3C"/>
    <w:rsid w:val="00AE3B98"/>
    <w:rsid w:val="00AE3EBD"/>
    <w:rsid w:val="00AE40E0"/>
    <w:rsid w:val="00AE4209"/>
    <w:rsid w:val="00AE4D6C"/>
    <w:rsid w:val="00AE4DBA"/>
    <w:rsid w:val="00AE4F07"/>
    <w:rsid w:val="00AE5313"/>
    <w:rsid w:val="00AE53EE"/>
    <w:rsid w:val="00AE55FA"/>
    <w:rsid w:val="00AE57B1"/>
    <w:rsid w:val="00AE5865"/>
    <w:rsid w:val="00AE5D60"/>
    <w:rsid w:val="00AE5EDF"/>
    <w:rsid w:val="00AE6283"/>
    <w:rsid w:val="00AE66AA"/>
    <w:rsid w:val="00AE6ED0"/>
    <w:rsid w:val="00AE79A3"/>
    <w:rsid w:val="00AE7F5A"/>
    <w:rsid w:val="00AF04AD"/>
    <w:rsid w:val="00AF0BFA"/>
    <w:rsid w:val="00AF13F7"/>
    <w:rsid w:val="00AF1C5D"/>
    <w:rsid w:val="00AF1D56"/>
    <w:rsid w:val="00AF2694"/>
    <w:rsid w:val="00AF3EC3"/>
    <w:rsid w:val="00AF42D7"/>
    <w:rsid w:val="00AF4961"/>
    <w:rsid w:val="00AF4CC0"/>
    <w:rsid w:val="00AF57C1"/>
    <w:rsid w:val="00AF590B"/>
    <w:rsid w:val="00AF5A87"/>
    <w:rsid w:val="00AF5FA6"/>
    <w:rsid w:val="00AF6377"/>
    <w:rsid w:val="00AF6820"/>
    <w:rsid w:val="00AF6C00"/>
    <w:rsid w:val="00AF6F2F"/>
    <w:rsid w:val="00AF77A4"/>
    <w:rsid w:val="00B006FE"/>
    <w:rsid w:val="00B007CB"/>
    <w:rsid w:val="00B01A6F"/>
    <w:rsid w:val="00B01B96"/>
    <w:rsid w:val="00B01BAF"/>
    <w:rsid w:val="00B01DC9"/>
    <w:rsid w:val="00B01F12"/>
    <w:rsid w:val="00B02144"/>
    <w:rsid w:val="00B02170"/>
    <w:rsid w:val="00B0223E"/>
    <w:rsid w:val="00B02AA7"/>
    <w:rsid w:val="00B02AA9"/>
    <w:rsid w:val="00B02C5C"/>
    <w:rsid w:val="00B02F74"/>
    <w:rsid w:val="00B02F9A"/>
    <w:rsid w:val="00B02FA3"/>
    <w:rsid w:val="00B03F54"/>
    <w:rsid w:val="00B05084"/>
    <w:rsid w:val="00B05A6F"/>
    <w:rsid w:val="00B05BFA"/>
    <w:rsid w:val="00B06045"/>
    <w:rsid w:val="00B066D6"/>
    <w:rsid w:val="00B06F12"/>
    <w:rsid w:val="00B06F21"/>
    <w:rsid w:val="00B07039"/>
    <w:rsid w:val="00B07ECB"/>
    <w:rsid w:val="00B07FE2"/>
    <w:rsid w:val="00B114CE"/>
    <w:rsid w:val="00B11D9A"/>
    <w:rsid w:val="00B12760"/>
    <w:rsid w:val="00B13B4D"/>
    <w:rsid w:val="00B143D1"/>
    <w:rsid w:val="00B14772"/>
    <w:rsid w:val="00B14B7C"/>
    <w:rsid w:val="00B14F34"/>
    <w:rsid w:val="00B151EE"/>
    <w:rsid w:val="00B156EB"/>
    <w:rsid w:val="00B15718"/>
    <w:rsid w:val="00B157F9"/>
    <w:rsid w:val="00B15EF8"/>
    <w:rsid w:val="00B16394"/>
    <w:rsid w:val="00B167F1"/>
    <w:rsid w:val="00B16F9C"/>
    <w:rsid w:val="00B20256"/>
    <w:rsid w:val="00B20D09"/>
    <w:rsid w:val="00B216F9"/>
    <w:rsid w:val="00B21786"/>
    <w:rsid w:val="00B22C9D"/>
    <w:rsid w:val="00B22DE9"/>
    <w:rsid w:val="00B23437"/>
    <w:rsid w:val="00B23EF8"/>
    <w:rsid w:val="00B257ED"/>
    <w:rsid w:val="00B25FA7"/>
    <w:rsid w:val="00B261AF"/>
    <w:rsid w:val="00B26EF4"/>
    <w:rsid w:val="00B2763F"/>
    <w:rsid w:val="00B27AAC"/>
    <w:rsid w:val="00B30929"/>
    <w:rsid w:val="00B30B35"/>
    <w:rsid w:val="00B3391B"/>
    <w:rsid w:val="00B34C9B"/>
    <w:rsid w:val="00B3541A"/>
    <w:rsid w:val="00B3559D"/>
    <w:rsid w:val="00B35A40"/>
    <w:rsid w:val="00B36236"/>
    <w:rsid w:val="00B369AD"/>
    <w:rsid w:val="00B37066"/>
    <w:rsid w:val="00B372AA"/>
    <w:rsid w:val="00B37D91"/>
    <w:rsid w:val="00B40445"/>
    <w:rsid w:val="00B406C9"/>
    <w:rsid w:val="00B40CF2"/>
    <w:rsid w:val="00B41888"/>
    <w:rsid w:val="00B418B7"/>
    <w:rsid w:val="00B42BDB"/>
    <w:rsid w:val="00B42EBC"/>
    <w:rsid w:val="00B44AA1"/>
    <w:rsid w:val="00B45189"/>
    <w:rsid w:val="00B453C3"/>
    <w:rsid w:val="00B45657"/>
    <w:rsid w:val="00B45A52"/>
    <w:rsid w:val="00B46023"/>
    <w:rsid w:val="00B46175"/>
    <w:rsid w:val="00B464CE"/>
    <w:rsid w:val="00B500E0"/>
    <w:rsid w:val="00B50180"/>
    <w:rsid w:val="00B5058B"/>
    <w:rsid w:val="00B50E05"/>
    <w:rsid w:val="00B51BBD"/>
    <w:rsid w:val="00B521E6"/>
    <w:rsid w:val="00B53227"/>
    <w:rsid w:val="00B53F38"/>
    <w:rsid w:val="00B54B9C"/>
    <w:rsid w:val="00B552CC"/>
    <w:rsid w:val="00B5592B"/>
    <w:rsid w:val="00B55EA5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944"/>
    <w:rsid w:val="00B62A45"/>
    <w:rsid w:val="00B62AAA"/>
    <w:rsid w:val="00B62DC3"/>
    <w:rsid w:val="00B6374A"/>
    <w:rsid w:val="00B63FF9"/>
    <w:rsid w:val="00B64D7A"/>
    <w:rsid w:val="00B64DC1"/>
    <w:rsid w:val="00B64E11"/>
    <w:rsid w:val="00B6560D"/>
    <w:rsid w:val="00B664C7"/>
    <w:rsid w:val="00B668DA"/>
    <w:rsid w:val="00B70470"/>
    <w:rsid w:val="00B70BB1"/>
    <w:rsid w:val="00B71B58"/>
    <w:rsid w:val="00B721F7"/>
    <w:rsid w:val="00B72216"/>
    <w:rsid w:val="00B72780"/>
    <w:rsid w:val="00B735B1"/>
    <w:rsid w:val="00B739F6"/>
    <w:rsid w:val="00B73F8D"/>
    <w:rsid w:val="00B7455B"/>
    <w:rsid w:val="00B74C28"/>
    <w:rsid w:val="00B75366"/>
    <w:rsid w:val="00B75D3C"/>
    <w:rsid w:val="00B75DBC"/>
    <w:rsid w:val="00B76CF6"/>
    <w:rsid w:val="00B77B26"/>
    <w:rsid w:val="00B77E8A"/>
    <w:rsid w:val="00B800F5"/>
    <w:rsid w:val="00B80699"/>
    <w:rsid w:val="00B8086A"/>
    <w:rsid w:val="00B80B49"/>
    <w:rsid w:val="00B8117B"/>
    <w:rsid w:val="00B817DC"/>
    <w:rsid w:val="00B8196F"/>
    <w:rsid w:val="00B81A6C"/>
    <w:rsid w:val="00B81D70"/>
    <w:rsid w:val="00B82789"/>
    <w:rsid w:val="00B833FA"/>
    <w:rsid w:val="00B838E1"/>
    <w:rsid w:val="00B843AE"/>
    <w:rsid w:val="00B84F59"/>
    <w:rsid w:val="00B85444"/>
    <w:rsid w:val="00B8548C"/>
    <w:rsid w:val="00B859FB"/>
    <w:rsid w:val="00B85B84"/>
    <w:rsid w:val="00B85DE5"/>
    <w:rsid w:val="00B85FAE"/>
    <w:rsid w:val="00B86C52"/>
    <w:rsid w:val="00B90476"/>
    <w:rsid w:val="00B90666"/>
    <w:rsid w:val="00B90E65"/>
    <w:rsid w:val="00B90F73"/>
    <w:rsid w:val="00B925FC"/>
    <w:rsid w:val="00B92917"/>
    <w:rsid w:val="00B93100"/>
    <w:rsid w:val="00B934DA"/>
    <w:rsid w:val="00B93721"/>
    <w:rsid w:val="00B93B59"/>
    <w:rsid w:val="00B9406A"/>
    <w:rsid w:val="00B94A2F"/>
    <w:rsid w:val="00B94D6D"/>
    <w:rsid w:val="00B95078"/>
    <w:rsid w:val="00B95B87"/>
    <w:rsid w:val="00B9620B"/>
    <w:rsid w:val="00B96258"/>
    <w:rsid w:val="00B9690A"/>
    <w:rsid w:val="00B97945"/>
    <w:rsid w:val="00B97976"/>
    <w:rsid w:val="00BA02C0"/>
    <w:rsid w:val="00BA07E3"/>
    <w:rsid w:val="00BA1004"/>
    <w:rsid w:val="00BA17A5"/>
    <w:rsid w:val="00BA1B06"/>
    <w:rsid w:val="00BA2280"/>
    <w:rsid w:val="00BA2A08"/>
    <w:rsid w:val="00BA3581"/>
    <w:rsid w:val="00BA4982"/>
    <w:rsid w:val="00BA56D2"/>
    <w:rsid w:val="00BA5ADD"/>
    <w:rsid w:val="00BA6440"/>
    <w:rsid w:val="00BA6519"/>
    <w:rsid w:val="00BA6815"/>
    <w:rsid w:val="00BA69F5"/>
    <w:rsid w:val="00BA70E8"/>
    <w:rsid w:val="00BA76E0"/>
    <w:rsid w:val="00BB0186"/>
    <w:rsid w:val="00BB0407"/>
    <w:rsid w:val="00BB0538"/>
    <w:rsid w:val="00BB1A4F"/>
    <w:rsid w:val="00BB212F"/>
    <w:rsid w:val="00BB21D5"/>
    <w:rsid w:val="00BB229E"/>
    <w:rsid w:val="00BB26FF"/>
    <w:rsid w:val="00BB2A25"/>
    <w:rsid w:val="00BB2F86"/>
    <w:rsid w:val="00BB36D9"/>
    <w:rsid w:val="00BB371F"/>
    <w:rsid w:val="00BB3F23"/>
    <w:rsid w:val="00BB48D4"/>
    <w:rsid w:val="00BB4D7A"/>
    <w:rsid w:val="00BB51E9"/>
    <w:rsid w:val="00BB56BD"/>
    <w:rsid w:val="00BB6240"/>
    <w:rsid w:val="00BB6455"/>
    <w:rsid w:val="00BB7455"/>
    <w:rsid w:val="00BB78D4"/>
    <w:rsid w:val="00BB7D2C"/>
    <w:rsid w:val="00BC0067"/>
    <w:rsid w:val="00BC0FDC"/>
    <w:rsid w:val="00BC1477"/>
    <w:rsid w:val="00BC1809"/>
    <w:rsid w:val="00BC2238"/>
    <w:rsid w:val="00BC2C49"/>
    <w:rsid w:val="00BC3053"/>
    <w:rsid w:val="00BC32E1"/>
    <w:rsid w:val="00BC34D8"/>
    <w:rsid w:val="00BC3DBE"/>
    <w:rsid w:val="00BC3FFB"/>
    <w:rsid w:val="00BC40BE"/>
    <w:rsid w:val="00BC4D2E"/>
    <w:rsid w:val="00BC4F38"/>
    <w:rsid w:val="00BC536F"/>
    <w:rsid w:val="00BC53B4"/>
    <w:rsid w:val="00BC5DE4"/>
    <w:rsid w:val="00BC6079"/>
    <w:rsid w:val="00BC642C"/>
    <w:rsid w:val="00BC6A51"/>
    <w:rsid w:val="00BC6E25"/>
    <w:rsid w:val="00BC757A"/>
    <w:rsid w:val="00BC758E"/>
    <w:rsid w:val="00BC7B85"/>
    <w:rsid w:val="00BD034D"/>
    <w:rsid w:val="00BD08B5"/>
    <w:rsid w:val="00BD08F6"/>
    <w:rsid w:val="00BD1755"/>
    <w:rsid w:val="00BD3273"/>
    <w:rsid w:val="00BD3C9F"/>
    <w:rsid w:val="00BD3E77"/>
    <w:rsid w:val="00BD4324"/>
    <w:rsid w:val="00BD46A8"/>
    <w:rsid w:val="00BD4735"/>
    <w:rsid w:val="00BD488C"/>
    <w:rsid w:val="00BD48AC"/>
    <w:rsid w:val="00BD5146"/>
    <w:rsid w:val="00BD5CA2"/>
    <w:rsid w:val="00BD5F1A"/>
    <w:rsid w:val="00BD7CFF"/>
    <w:rsid w:val="00BE07A9"/>
    <w:rsid w:val="00BE0A6B"/>
    <w:rsid w:val="00BE0BC0"/>
    <w:rsid w:val="00BE1234"/>
    <w:rsid w:val="00BE167D"/>
    <w:rsid w:val="00BE1E0C"/>
    <w:rsid w:val="00BE20F5"/>
    <w:rsid w:val="00BE2FA6"/>
    <w:rsid w:val="00BE30BD"/>
    <w:rsid w:val="00BE31A3"/>
    <w:rsid w:val="00BE333F"/>
    <w:rsid w:val="00BE334F"/>
    <w:rsid w:val="00BE4B0B"/>
    <w:rsid w:val="00BE4F7A"/>
    <w:rsid w:val="00BE5AD2"/>
    <w:rsid w:val="00BE6A44"/>
    <w:rsid w:val="00BE734E"/>
    <w:rsid w:val="00BE737E"/>
    <w:rsid w:val="00BE7406"/>
    <w:rsid w:val="00BE741C"/>
    <w:rsid w:val="00BE7603"/>
    <w:rsid w:val="00BE76FC"/>
    <w:rsid w:val="00BE79D8"/>
    <w:rsid w:val="00BE7D1C"/>
    <w:rsid w:val="00BF0310"/>
    <w:rsid w:val="00BF09D2"/>
    <w:rsid w:val="00BF0F60"/>
    <w:rsid w:val="00BF14F3"/>
    <w:rsid w:val="00BF15E8"/>
    <w:rsid w:val="00BF1F95"/>
    <w:rsid w:val="00BF23ED"/>
    <w:rsid w:val="00BF261D"/>
    <w:rsid w:val="00BF3279"/>
    <w:rsid w:val="00BF3778"/>
    <w:rsid w:val="00BF3FD8"/>
    <w:rsid w:val="00BF431E"/>
    <w:rsid w:val="00BF47D4"/>
    <w:rsid w:val="00BF536D"/>
    <w:rsid w:val="00BF54FE"/>
    <w:rsid w:val="00BF624A"/>
    <w:rsid w:val="00BF6361"/>
    <w:rsid w:val="00BF6704"/>
    <w:rsid w:val="00BF6B15"/>
    <w:rsid w:val="00BF6CC8"/>
    <w:rsid w:val="00BF7049"/>
    <w:rsid w:val="00BF73CE"/>
    <w:rsid w:val="00BF7445"/>
    <w:rsid w:val="00BF74C7"/>
    <w:rsid w:val="00C00245"/>
    <w:rsid w:val="00C007C7"/>
    <w:rsid w:val="00C00C72"/>
    <w:rsid w:val="00C00C87"/>
    <w:rsid w:val="00C015F1"/>
    <w:rsid w:val="00C01BD7"/>
    <w:rsid w:val="00C01EC1"/>
    <w:rsid w:val="00C01F33"/>
    <w:rsid w:val="00C02B94"/>
    <w:rsid w:val="00C02CC6"/>
    <w:rsid w:val="00C040F7"/>
    <w:rsid w:val="00C041B0"/>
    <w:rsid w:val="00C044AB"/>
    <w:rsid w:val="00C04DDF"/>
    <w:rsid w:val="00C05706"/>
    <w:rsid w:val="00C057F4"/>
    <w:rsid w:val="00C058DC"/>
    <w:rsid w:val="00C05B5E"/>
    <w:rsid w:val="00C07011"/>
    <w:rsid w:val="00C0718D"/>
    <w:rsid w:val="00C07377"/>
    <w:rsid w:val="00C103DD"/>
    <w:rsid w:val="00C10478"/>
    <w:rsid w:val="00C12107"/>
    <w:rsid w:val="00C128BE"/>
    <w:rsid w:val="00C13452"/>
    <w:rsid w:val="00C134A0"/>
    <w:rsid w:val="00C14115"/>
    <w:rsid w:val="00C148E9"/>
    <w:rsid w:val="00C14B88"/>
    <w:rsid w:val="00C14D4B"/>
    <w:rsid w:val="00C154BB"/>
    <w:rsid w:val="00C1589D"/>
    <w:rsid w:val="00C15B66"/>
    <w:rsid w:val="00C15D75"/>
    <w:rsid w:val="00C1642C"/>
    <w:rsid w:val="00C16B49"/>
    <w:rsid w:val="00C16D25"/>
    <w:rsid w:val="00C16DE5"/>
    <w:rsid w:val="00C171B1"/>
    <w:rsid w:val="00C1747D"/>
    <w:rsid w:val="00C17D3F"/>
    <w:rsid w:val="00C2037A"/>
    <w:rsid w:val="00C210BC"/>
    <w:rsid w:val="00C21C9E"/>
    <w:rsid w:val="00C21CC5"/>
    <w:rsid w:val="00C237F8"/>
    <w:rsid w:val="00C23E5C"/>
    <w:rsid w:val="00C249FF"/>
    <w:rsid w:val="00C25454"/>
    <w:rsid w:val="00C262E5"/>
    <w:rsid w:val="00C2671F"/>
    <w:rsid w:val="00C26FAA"/>
    <w:rsid w:val="00C27142"/>
    <w:rsid w:val="00C276A6"/>
    <w:rsid w:val="00C279B5"/>
    <w:rsid w:val="00C27C45"/>
    <w:rsid w:val="00C32657"/>
    <w:rsid w:val="00C3287B"/>
    <w:rsid w:val="00C32BD8"/>
    <w:rsid w:val="00C32D77"/>
    <w:rsid w:val="00C335B6"/>
    <w:rsid w:val="00C33F4B"/>
    <w:rsid w:val="00C34490"/>
    <w:rsid w:val="00C34D98"/>
    <w:rsid w:val="00C3549F"/>
    <w:rsid w:val="00C354BB"/>
    <w:rsid w:val="00C36088"/>
    <w:rsid w:val="00C3719D"/>
    <w:rsid w:val="00C378A2"/>
    <w:rsid w:val="00C37CC3"/>
    <w:rsid w:val="00C37F98"/>
    <w:rsid w:val="00C405FD"/>
    <w:rsid w:val="00C4067E"/>
    <w:rsid w:val="00C41E75"/>
    <w:rsid w:val="00C42BAB"/>
    <w:rsid w:val="00C43F74"/>
    <w:rsid w:val="00C44BB4"/>
    <w:rsid w:val="00C4515C"/>
    <w:rsid w:val="00C45741"/>
    <w:rsid w:val="00C4667B"/>
    <w:rsid w:val="00C46A82"/>
    <w:rsid w:val="00C46CEC"/>
    <w:rsid w:val="00C4742E"/>
    <w:rsid w:val="00C4747B"/>
    <w:rsid w:val="00C51FCF"/>
    <w:rsid w:val="00C5214D"/>
    <w:rsid w:val="00C54995"/>
    <w:rsid w:val="00C54B8F"/>
    <w:rsid w:val="00C54C68"/>
    <w:rsid w:val="00C54D41"/>
    <w:rsid w:val="00C55921"/>
    <w:rsid w:val="00C559BF"/>
    <w:rsid w:val="00C55DD0"/>
    <w:rsid w:val="00C55F6F"/>
    <w:rsid w:val="00C561AF"/>
    <w:rsid w:val="00C5676C"/>
    <w:rsid w:val="00C56FC6"/>
    <w:rsid w:val="00C57605"/>
    <w:rsid w:val="00C6006D"/>
    <w:rsid w:val="00C604A5"/>
    <w:rsid w:val="00C60783"/>
    <w:rsid w:val="00C610E9"/>
    <w:rsid w:val="00C612B9"/>
    <w:rsid w:val="00C6166D"/>
    <w:rsid w:val="00C6167D"/>
    <w:rsid w:val="00C623D7"/>
    <w:rsid w:val="00C63695"/>
    <w:rsid w:val="00C6418B"/>
    <w:rsid w:val="00C64672"/>
    <w:rsid w:val="00C64B77"/>
    <w:rsid w:val="00C64E8D"/>
    <w:rsid w:val="00C658AB"/>
    <w:rsid w:val="00C6657A"/>
    <w:rsid w:val="00C66CE5"/>
    <w:rsid w:val="00C66ECF"/>
    <w:rsid w:val="00C671C8"/>
    <w:rsid w:val="00C672B6"/>
    <w:rsid w:val="00C67941"/>
    <w:rsid w:val="00C70697"/>
    <w:rsid w:val="00C706CE"/>
    <w:rsid w:val="00C70F33"/>
    <w:rsid w:val="00C71AC5"/>
    <w:rsid w:val="00C721A3"/>
    <w:rsid w:val="00C723C0"/>
    <w:rsid w:val="00C72954"/>
    <w:rsid w:val="00C72CA7"/>
    <w:rsid w:val="00C72DB6"/>
    <w:rsid w:val="00C72EF4"/>
    <w:rsid w:val="00C73124"/>
    <w:rsid w:val="00C73A95"/>
    <w:rsid w:val="00C743F0"/>
    <w:rsid w:val="00C7479E"/>
    <w:rsid w:val="00C74CA0"/>
    <w:rsid w:val="00C75081"/>
    <w:rsid w:val="00C7556E"/>
    <w:rsid w:val="00C75664"/>
    <w:rsid w:val="00C75CE0"/>
    <w:rsid w:val="00C75D2F"/>
    <w:rsid w:val="00C76643"/>
    <w:rsid w:val="00C767BE"/>
    <w:rsid w:val="00C767C3"/>
    <w:rsid w:val="00C76963"/>
    <w:rsid w:val="00C76E3C"/>
    <w:rsid w:val="00C77168"/>
    <w:rsid w:val="00C77480"/>
    <w:rsid w:val="00C77897"/>
    <w:rsid w:val="00C77982"/>
    <w:rsid w:val="00C77B92"/>
    <w:rsid w:val="00C77CFE"/>
    <w:rsid w:val="00C81568"/>
    <w:rsid w:val="00C81BCA"/>
    <w:rsid w:val="00C82528"/>
    <w:rsid w:val="00C82D75"/>
    <w:rsid w:val="00C83487"/>
    <w:rsid w:val="00C83B4D"/>
    <w:rsid w:val="00C8431E"/>
    <w:rsid w:val="00C85182"/>
    <w:rsid w:val="00C858D0"/>
    <w:rsid w:val="00C85CF2"/>
    <w:rsid w:val="00C85F97"/>
    <w:rsid w:val="00C862F5"/>
    <w:rsid w:val="00C86B9F"/>
    <w:rsid w:val="00C87236"/>
    <w:rsid w:val="00C8798F"/>
    <w:rsid w:val="00C87FF7"/>
    <w:rsid w:val="00C9026B"/>
    <w:rsid w:val="00C9027A"/>
    <w:rsid w:val="00C9062C"/>
    <w:rsid w:val="00C9068E"/>
    <w:rsid w:val="00C90A1A"/>
    <w:rsid w:val="00C9149F"/>
    <w:rsid w:val="00C9169C"/>
    <w:rsid w:val="00C91F9B"/>
    <w:rsid w:val="00C92173"/>
    <w:rsid w:val="00C92509"/>
    <w:rsid w:val="00C92E27"/>
    <w:rsid w:val="00C9318D"/>
    <w:rsid w:val="00C93278"/>
    <w:rsid w:val="00C9342D"/>
    <w:rsid w:val="00C93C4B"/>
    <w:rsid w:val="00C93F9E"/>
    <w:rsid w:val="00C944AB"/>
    <w:rsid w:val="00C95477"/>
    <w:rsid w:val="00C95B40"/>
    <w:rsid w:val="00C96A5C"/>
    <w:rsid w:val="00C97651"/>
    <w:rsid w:val="00C97A23"/>
    <w:rsid w:val="00C97BF6"/>
    <w:rsid w:val="00CA0210"/>
    <w:rsid w:val="00CA0590"/>
    <w:rsid w:val="00CA0864"/>
    <w:rsid w:val="00CA10CC"/>
    <w:rsid w:val="00CA12D1"/>
    <w:rsid w:val="00CA1D8C"/>
    <w:rsid w:val="00CA1ED8"/>
    <w:rsid w:val="00CA31A3"/>
    <w:rsid w:val="00CA3997"/>
    <w:rsid w:val="00CA3D41"/>
    <w:rsid w:val="00CA3E9B"/>
    <w:rsid w:val="00CA40DC"/>
    <w:rsid w:val="00CA5D71"/>
    <w:rsid w:val="00CA63C2"/>
    <w:rsid w:val="00CA7245"/>
    <w:rsid w:val="00CB003B"/>
    <w:rsid w:val="00CB0346"/>
    <w:rsid w:val="00CB0875"/>
    <w:rsid w:val="00CB08B3"/>
    <w:rsid w:val="00CB1153"/>
    <w:rsid w:val="00CB1678"/>
    <w:rsid w:val="00CB19C1"/>
    <w:rsid w:val="00CB1F63"/>
    <w:rsid w:val="00CB33E8"/>
    <w:rsid w:val="00CB3423"/>
    <w:rsid w:val="00CB45EE"/>
    <w:rsid w:val="00CB4BD2"/>
    <w:rsid w:val="00CB4F86"/>
    <w:rsid w:val="00CB532A"/>
    <w:rsid w:val="00CB552C"/>
    <w:rsid w:val="00CB5822"/>
    <w:rsid w:val="00CB619A"/>
    <w:rsid w:val="00CB65F9"/>
    <w:rsid w:val="00CB6927"/>
    <w:rsid w:val="00CB6DC0"/>
    <w:rsid w:val="00CB6E7B"/>
    <w:rsid w:val="00CB7170"/>
    <w:rsid w:val="00CB76CF"/>
    <w:rsid w:val="00CB7FD6"/>
    <w:rsid w:val="00CC0405"/>
    <w:rsid w:val="00CC040E"/>
    <w:rsid w:val="00CC111F"/>
    <w:rsid w:val="00CC134D"/>
    <w:rsid w:val="00CC14CB"/>
    <w:rsid w:val="00CC2011"/>
    <w:rsid w:val="00CC21A3"/>
    <w:rsid w:val="00CC29F9"/>
    <w:rsid w:val="00CC3EA0"/>
    <w:rsid w:val="00CC45AE"/>
    <w:rsid w:val="00CC5005"/>
    <w:rsid w:val="00CC5E23"/>
    <w:rsid w:val="00CC75AE"/>
    <w:rsid w:val="00CC7B45"/>
    <w:rsid w:val="00CC7C09"/>
    <w:rsid w:val="00CD0481"/>
    <w:rsid w:val="00CD1188"/>
    <w:rsid w:val="00CD1FDF"/>
    <w:rsid w:val="00CD2D5A"/>
    <w:rsid w:val="00CD2ED1"/>
    <w:rsid w:val="00CD337B"/>
    <w:rsid w:val="00CD33BC"/>
    <w:rsid w:val="00CD3BAC"/>
    <w:rsid w:val="00CD3D8E"/>
    <w:rsid w:val="00CD3E0E"/>
    <w:rsid w:val="00CD4DFA"/>
    <w:rsid w:val="00CD53DE"/>
    <w:rsid w:val="00CD5A3F"/>
    <w:rsid w:val="00CD5F55"/>
    <w:rsid w:val="00CD6152"/>
    <w:rsid w:val="00CD74C2"/>
    <w:rsid w:val="00CD7872"/>
    <w:rsid w:val="00CE0424"/>
    <w:rsid w:val="00CE2FDB"/>
    <w:rsid w:val="00CE4BBB"/>
    <w:rsid w:val="00CE585C"/>
    <w:rsid w:val="00CE5869"/>
    <w:rsid w:val="00CE6832"/>
    <w:rsid w:val="00CE6C7E"/>
    <w:rsid w:val="00CE71B4"/>
    <w:rsid w:val="00CE7561"/>
    <w:rsid w:val="00CE758E"/>
    <w:rsid w:val="00CE7612"/>
    <w:rsid w:val="00CE7799"/>
    <w:rsid w:val="00CF0237"/>
    <w:rsid w:val="00CF02AC"/>
    <w:rsid w:val="00CF0864"/>
    <w:rsid w:val="00CF0EBC"/>
    <w:rsid w:val="00CF1354"/>
    <w:rsid w:val="00CF13E1"/>
    <w:rsid w:val="00CF14CB"/>
    <w:rsid w:val="00CF30C1"/>
    <w:rsid w:val="00CF3960"/>
    <w:rsid w:val="00CF3AF5"/>
    <w:rsid w:val="00CF3B1F"/>
    <w:rsid w:val="00CF3BF6"/>
    <w:rsid w:val="00CF466B"/>
    <w:rsid w:val="00CF4B12"/>
    <w:rsid w:val="00CF5C2E"/>
    <w:rsid w:val="00CF6016"/>
    <w:rsid w:val="00CF625B"/>
    <w:rsid w:val="00CF638D"/>
    <w:rsid w:val="00CF687E"/>
    <w:rsid w:val="00CF6B7A"/>
    <w:rsid w:val="00CF7BB8"/>
    <w:rsid w:val="00CF7D00"/>
    <w:rsid w:val="00CF7F32"/>
    <w:rsid w:val="00D00102"/>
    <w:rsid w:val="00D0031A"/>
    <w:rsid w:val="00D00AE1"/>
    <w:rsid w:val="00D01331"/>
    <w:rsid w:val="00D02848"/>
    <w:rsid w:val="00D028EF"/>
    <w:rsid w:val="00D02D2B"/>
    <w:rsid w:val="00D02DEC"/>
    <w:rsid w:val="00D0349B"/>
    <w:rsid w:val="00D0381B"/>
    <w:rsid w:val="00D0399A"/>
    <w:rsid w:val="00D03BCC"/>
    <w:rsid w:val="00D04434"/>
    <w:rsid w:val="00D0498B"/>
    <w:rsid w:val="00D06151"/>
    <w:rsid w:val="00D06E79"/>
    <w:rsid w:val="00D078C1"/>
    <w:rsid w:val="00D0794C"/>
    <w:rsid w:val="00D07D97"/>
    <w:rsid w:val="00D10249"/>
    <w:rsid w:val="00D103BD"/>
    <w:rsid w:val="00D10409"/>
    <w:rsid w:val="00D10F00"/>
    <w:rsid w:val="00D115C3"/>
    <w:rsid w:val="00D11897"/>
    <w:rsid w:val="00D118D7"/>
    <w:rsid w:val="00D11EDD"/>
    <w:rsid w:val="00D12AF1"/>
    <w:rsid w:val="00D13135"/>
    <w:rsid w:val="00D1344F"/>
    <w:rsid w:val="00D13BC2"/>
    <w:rsid w:val="00D13E4E"/>
    <w:rsid w:val="00D14226"/>
    <w:rsid w:val="00D147CA"/>
    <w:rsid w:val="00D14ABD"/>
    <w:rsid w:val="00D1511B"/>
    <w:rsid w:val="00D153AA"/>
    <w:rsid w:val="00D159D4"/>
    <w:rsid w:val="00D17089"/>
    <w:rsid w:val="00D17248"/>
    <w:rsid w:val="00D17396"/>
    <w:rsid w:val="00D1742A"/>
    <w:rsid w:val="00D207AD"/>
    <w:rsid w:val="00D208FD"/>
    <w:rsid w:val="00D2113B"/>
    <w:rsid w:val="00D21811"/>
    <w:rsid w:val="00D21987"/>
    <w:rsid w:val="00D2264C"/>
    <w:rsid w:val="00D22B49"/>
    <w:rsid w:val="00D23025"/>
    <w:rsid w:val="00D23477"/>
    <w:rsid w:val="00D239A7"/>
    <w:rsid w:val="00D23A53"/>
    <w:rsid w:val="00D23F47"/>
    <w:rsid w:val="00D2426F"/>
    <w:rsid w:val="00D24952"/>
    <w:rsid w:val="00D24F35"/>
    <w:rsid w:val="00D2640E"/>
    <w:rsid w:val="00D267ED"/>
    <w:rsid w:val="00D26C4E"/>
    <w:rsid w:val="00D3005B"/>
    <w:rsid w:val="00D31468"/>
    <w:rsid w:val="00D31CC1"/>
    <w:rsid w:val="00D31E35"/>
    <w:rsid w:val="00D31FFB"/>
    <w:rsid w:val="00D325EA"/>
    <w:rsid w:val="00D334CA"/>
    <w:rsid w:val="00D35264"/>
    <w:rsid w:val="00D353AF"/>
    <w:rsid w:val="00D35643"/>
    <w:rsid w:val="00D35793"/>
    <w:rsid w:val="00D35B02"/>
    <w:rsid w:val="00D362D5"/>
    <w:rsid w:val="00D36983"/>
    <w:rsid w:val="00D36E71"/>
    <w:rsid w:val="00D372DA"/>
    <w:rsid w:val="00D374B7"/>
    <w:rsid w:val="00D37D87"/>
    <w:rsid w:val="00D37E1B"/>
    <w:rsid w:val="00D405EA"/>
    <w:rsid w:val="00D40B33"/>
    <w:rsid w:val="00D410D0"/>
    <w:rsid w:val="00D41222"/>
    <w:rsid w:val="00D412D6"/>
    <w:rsid w:val="00D417D4"/>
    <w:rsid w:val="00D41BDF"/>
    <w:rsid w:val="00D41DC0"/>
    <w:rsid w:val="00D4318F"/>
    <w:rsid w:val="00D438BF"/>
    <w:rsid w:val="00D43F5A"/>
    <w:rsid w:val="00D440F8"/>
    <w:rsid w:val="00D44856"/>
    <w:rsid w:val="00D44B73"/>
    <w:rsid w:val="00D44DCD"/>
    <w:rsid w:val="00D44DDF"/>
    <w:rsid w:val="00D46921"/>
    <w:rsid w:val="00D47715"/>
    <w:rsid w:val="00D47876"/>
    <w:rsid w:val="00D47A80"/>
    <w:rsid w:val="00D50CA5"/>
    <w:rsid w:val="00D51591"/>
    <w:rsid w:val="00D53214"/>
    <w:rsid w:val="00D533E2"/>
    <w:rsid w:val="00D53C21"/>
    <w:rsid w:val="00D53E23"/>
    <w:rsid w:val="00D546FF"/>
    <w:rsid w:val="00D54795"/>
    <w:rsid w:val="00D5488C"/>
    <w:rsid w:val="00D54CB1"/>
    <w:rsid w:val="00D557E7"/>
    <w:rsid w:val="00D55A34"/>
    <w:rsid w:val="00D55AD5"/>
    <w:rsid w:val="00D56B27"/>
    <w:rsid w:val="00D5744B"/>
    <w:rsid w:val="00D576CA"/>
    <w:rsid w:val="00D5791D"/>
    <w:rsid w:val="00D60E13"/>
    <w:rsid w:val="00D60ED7"/>
    <w:rsid w:val="00D61AF5"/>
    <w:rsid w:val="00D62054"/>
    <w:rsid w:val="00D625AB"/>
    <w:rsid w:val="00D62AAA"/>
    <w:rsid w:val="00D62CD5"/>
    <w:rsid w:val="00D63B10"/>
    <w:rsid w:val="00D6435F"/>
    <w:rsid w:val="00D64BBB"/>
    <w:rsid w:val="00D64E41"/>
    <w:rsid w:val="00D652B5"/>
    <w:rsid w:val="00D657D5"/>
    <w:rsid w:val="00D65C42"/>
    <w:rsid w:val="00D65E6C"/>
    <w:rsid w:val="00D65F39"/>
    <w:rsid w:val="00D65F48"/>
    <w:rsid w:val="00D66155"/>
    <w:rsid w:val="00D6685A"/>
    <w:rsid w:val="00D66A33"/>
    <w:rsid w:val="00D671DA"/>
    <w:rsid w:val="00D708B0"/>
    <w:rsid w:val="00D70B19"/>
    <w:rsid w:val="00D70E73"/>
    <w:rsid w:val="00D7135D"/>
    <w:rsid w:val="00D728FE"/>
    <w:rsid w:val="00D734EC"/>
    <w:rsid w:val="00D74207"/>
    <w:rsid w:val="00D74578"/>
    <w:rsid w:val="00D74815"/>
    <w:rsid w:val="00D74E6A"/>
    <w:rsid w:val="00D75613"/>
    <w:rsid w:val="00D763CD"/>
    <w:rsid w:val="00D76401"/>
    <w:rsid w:val="00D767D6"/>
    <w:rsid w:val="00D76CEF"/>
    <w:rsid w:val="00D779B3"/>
    <w:rsid w:val="00D77B1D"/>
    <w:rsid w:val="00D77E1B"/>
    <w:rsid w:val="00D8021F"/>
    <w:rsid w:val="00D80383"/>
    <w:rsid w:val="00D80EF0"/>
    <w:rsid w:val="00D80FE6"/>
    <w:rsid w:val="00D812AB"/>
    <w:rsid w:val="00D817B0"/>
    <w:rsid w:val="00D822FA"/>
    <w:rsid w:val="00D823C6"/>
    <w:rsid w:val="00D82954"/>
    <w:rsid w:val="00D83229"/>
    <w:rsid w:val="00D83623"/>
    <w:rsid w:val="00D842CA"/>
    <w:rsid w:val="00D8466B"/>
    <w:rsid w:val="00D84D00"/>
    <w:rsid w:val="00D84DDC"/>
    <w:rsid w:val="00D86C86"/>
    <w:rsid w:val="00D86CA3"/>
    <w:rsid w:val="00D8713B"/>
    <w:rsid w:val="00D871CE"/>
    <w:rsid w:val="00D87238"/>
    <w:rsid w:val="00D878F0"/>
    <w:rsid w:val="00D90E74"/>
    <w:rsid w:val="00D91055"/>
    <w:rsid w:val="00D9196D"/>
    <w:rsid w:val="00D91C92"/>
    <w:rsid w:val="00D91D32"/>
    <w:rsid w:val="00D91F65"/>
    <w:rsid w:val="00D92982"/>
    <w:rsid w:val="00D935C6"/>
    <w:rsid w:val="00D93AAE"/>
    <w:rsid w:val="00D94EA3"/>
    <w:rsid w:val="00D95549"/>
    <w:rsid w:val="00D96529"/>
    <w:rsid w:val="00D974D3"/>
    <w:rsid w:val="00D977AA"/>
    <w:rsid w:val="00D9781B"/>
    <w:rsid w:val="00DA01B6"/>
    <w:rsid w:val="00DA0D42"/>
    <w:rsid w:val="00DA1349"/>
    <w:rsid w:val="00DA1498"/>
    <w:rsid w:val="00DA1AC3"/>
    <w:rsid w:val="00DA2C5F"/>
    <w:rsid w:val="00DA2F6C"/>
    <w:rsid w:val="00DA305E"/>
    <w:rsid w:val="00DA3FCF"/>
    <w:rsid w:val="00DA45FB"/>
    <w:rsid w:val="00DA5007"/>
    <w:rsid w:val="00DA5417"/>
    <w:rsid w:val="00DA56E8"/>
    <w:rsid w:val="00DA5828"/>
    <w:rsid w:val="00DA5F5F"/>
    <w:rsid w:val="00DA69D7"/>
    <w:rsid w:val="00DA6A0A"/>
    <w:rsid w:val="00DA6BEF"/>
    <w:rsid w:val="00DA6CA1"/>
    <w:rsid w:val="00DA73BC"/>
    <w:rsid w:val="00DA7BDA"/>
    <w:rsid w:val="00DB00F8"/>
    <w:rsid w:val="00DB0A9F"/>
    <w:rsid w:val="00DB107B"/>
    <w:rsid w:val="00DB1221"/>
    <w:rsid w:val="00DB124A"/>
    <w:rsid w:val="00DB377D"/>
    <w:rsid w:val="00DB37A7"/>
    <w:rsid w:val="00DB40FB"/>
    <w:rsid w:val="00DB4913"/>
    <w:rsid w:val="00DB5719"/>
    <w:rsid w:val="00DB6768"/>
    <w:rsid w:val="00DB6E98"/>
    <w:rsid w:val="00DB72C9"/>
    <w:rsid w:val="00DC0AC2"/>
    <w:rsid w:val="00DC0E5D"/>
    <w:rsid w:val="00DC1887"/>
    <w:rsid w:val="00DC1F5A"/>
    <w:rsid w:val="00DC250A"/>
    <w:rsid w:val="00DC25CF"/>
    <w:rsid w:val="00DC28F0"/>
    <w:rsid w:val="00DC2D36"/>
    <w:rsid w:val="00DC3740"/>
    <w:rsid w:val="00DC376E"/>
    <w:rsid w:val="00DC37B1"/>
    <w:rsid w:val="00DC385E"/>
    <w:rsid w:val="00DC3C6F"/>
    <w:rsid w:val="00DC3F66"/>
    <w:rsid w:val="00DC4646"/>
    <w:rsid w:val="00DC46BA"/>
    <w:rsid w:val="00DC478F"/>
    <w:rsid w:val="00DC4F17"/>
    <w:rsid w:val="00DC53EF"/>
    <w:rsid w:val="00DC64B9"/>
    <w:rsid w:val="00DD0E49"/>
    <w:rsid w:val="00DD1B55"/>
    <w:rsid w:val="00DD1D27"/>
    <w:rsid w:val="00DD1EEE"/>
    <w:rsid w:val="00DD25DB"/>
    <w:rsid w:val="00DD2697"/>
    <w:rsid w:val="00DD301A"/>
    <w:rsid w:val="00DD3735"/>
    <w:rsid w:val="00DD42EC"/>
    <w:rsid w:val="00DD43DE"/>
    <w:rsid w:val="00DD4AB5"/>
    <w:rsid w:val="00DD4FD7"/>
    <w:rsid w:val="00DD5447"/>
    <w:rsid w:val="00DD5931"/>
    <w:rsid w:val="00DD6FC6"/>
    <w:rsid w:val="00DD740E"/>
    <w:rsid w:val="00DD7789"/>
    <w:rsid w:val="00DE0491"/>
    <w:rsid w:val="00DE0FDD"/>
    <w:rsid w:val="00DE0FE2"/>
    <w:rsid w:val="00DE24E3"/>
    <w:rsid w:val="00DE27EC"/>
    <w:rsid w:val="00DE2D93"/>
    <w:rsid w:val="00DE2E69"/>
    <w:rsid w:val="00DE41AA"/>
    <w:rsid w:val="00DE4E2C"/>
    <w:rsid w:val="00DE5608"/>
    <w:rsid w:val="00DE58D0"/>
    <w:rsid w:val="00DE5F95"/>
    <w:rsid w:val="00DE605D"/>
    <w:rsid w:val="00DE654F"/>
    <w:rsid w:val="00DE6DB5"/>
    <w:rsid w:val="00DE73AB"/>
    <w:rsid w:val="00DE769D"/>
    <w:rsid w:val="00DE7A43"/>
    <w:rsid w:val="00DF02B2"/>
    <w:rsid w:val="00DF0B6E"/>
    <w:rsid w:val="00DF15E0"/>
    <w:rsid w:val="00DF1C34"/>
    <w:rsid w:val="00DF24DD"/>
    <w:rsid w:val="00DF306A"/>
    <w:rsid w:val="00DF37A0"/>
    <w:rsid w:val="00DF5470"/>
    <w:rsid w:val="00DF5C56"/>
    <w:rsid w:val="00DF5E98"/>
    <w:rsid w:val="00DF61AD"/>
    <w:rsid w:val="00DF6439"/>
    <w:rsid w:val="00DF66DE"/>
    <w:rsid w:val="00DF6BC9"/>
    <w:rsid w:val="00DF7938"/>
    <w:rsid w:val="00DF7A66"/>
    <w:rsid w:val="00DF7F6C"/>
    <w:rsid w:val="00E002D7"/>
    <w:rsid w:val="00E007B2"/>
    <w:rsid w:val="00E00D29"/>
    <w:rsid w:val="00E01746"/>
    <w:rsid w:val="00E01957"/>
    <w:rsid w:val="00E01E5E"/>
    <w:rsid w:val="00E0219D"/>
    <w:rsid w:val="00E0253C"/>
    <w:rsid w:val="00E038E0"/>
    <w:rsid w:val="00E043F2"/>
    <w:rsid w:val="00E04859"/>
    <w:rsid w:val="00E04ECA"/>
    <w:rsid w:val="00E054BD"/>
    <w:rsid w:val="00E054D1"/>
    <w:rsid w:val="00E0572E"/>
    <w:rsid w:val="00E0586A"/>
    <w:rsid w:val="00E05CDC"/>
    <w:rsid w:val="00E05DED"/>
    <w:rsid w:val="00E05EBD"/>
    <w:rsid w:val="00E07312"/>
    <w:rsid w:val="00E073F6"/>
    <w:rsid w:val="00E07A20"/>
    <w:rsid w:val="00E10C3B"/>
    <w:rsid w:val="00E110E7"/>
    <w:rsid w:val="00E119F4"/>
    <w:rsid w:val="00E11B20"/>
    <w:rsid w:val="00E1257F"/>
    <w:rsid w:val="00E12837"/>
    <w:rsid w:val="00E138EA"/>
    <w:rsid w:val="00E13983"/>
    <w:rsid w:val="00E1485E"/>
    <w:rsid w:val="00E1490F"/>
    <w:rsid w:val="00E14DEC"/>
    <w:rsid w:val="00E152F9"/>
    <w:rsid w:val="00E1577B"/>
    <w:rsid w:val="00E16446"/>
    <w:rsid w:val="00E1681F"/>
    <w:rsid w:val="00E16915"/>
    <w:rsid w:val="00E17182"/>
    <w:rsid w:val="00E17545"/>
    <w:rsid w:val="00E178A3"/>
    <w:rsid w:val="00E17FA2"/>
    <w:rsid w:val="00E20983"/>
    <w:rsid w:val="00E20C14"/>
    <w:rsid w:val="00E20CED"/>
    <w:rsid w:val="00E222A7"/>
    <w:rsid w:val="00E22330"/>
    <w:rsid w:val="00E22EAB"/>
    <w:rsid w:val="00E24235"/>
    <w:rsid w:val="00E25089"/>
    <w:rsid w:val="00E25437"/>
    <w:rsid w:val="00E2601C"/>
    <w:rsid w:val="00E2609B"/>
    <w:rsid w:val="00E2667F"/>
    <w:rsid w:val="00E26F39"/>
    <w:rsid w:val="00E271B8"/>
    <w:rsid w:val="00E273E2"/>
    <w:rsid w:val="00E27B8D"/>
    <w:rsid w:val="00E27CEC"/>
    <w:rsid w:val="00E27EA5"/>
    <w:rsid w:val="00E3010F"/>
    <w:rsid w:val="00E30B5A"/>
    <w:rsid w:val="00E310FF"/>
    <w:rsid w:val="00E3123D"/>
    <w:rsid w:val="00E31461"/>
    <w:rsid w:val="00E31A8D"/>
    <w:rsid w:val="00E31C09"/>
    <w:rsid w:val="00E31CF9"/>
    <w:rsid w:val="00E31D43"/>
    <w:rsid w:val="00E32608"/>
    <w:rsid w:val="00E33262"/>
    <w:rsid w:val="00E33B53"/>
    <w:rsid w:val="00E33F1C"/>
    <w:rsid w:val="00E33F88"/>
    <w:rsid w:val="00E34188"/>
    <w:rsid w:val="00E345CD"/>
    <w:rsid w:val="00E34B6E"/>
    <w:rsid w:val="00E35559"/>
    <w:rsid w:val="00E36997"/>
    <w:rsid w:val="00E36D6D"/>
    <w:rsid w:val="00E36F2B"/>
    <w:rsid w:val="00E36F4F"/>
    <w:rsid w:val="00E37218"/>
    <w:rsid w:val="00E3723A"/>
    <w:rsid w:val="00E373BB"/>
    <w:rsid w:val="00E37860"/>
    <w:rsid w:val="00E37F9A"/>
    <w:rsid w:val="00E402AA"/>
    <w:rsid w:val="00E4054A"/>
    <w:rsid w:val="00E40BB2"/>
    <w:rsid w:val="00E41190"/>
    <w:rsid w:val="00E41202"/>
    <w:rsid w:val="00E4154F"/>
    <w:rsid w:val="00E41AA0"/>
    <w:rsid w:val="00E41CD2"/>
    <w:rsid w:val="00E42017"/>
    <w:rsid w:val="00E4258F"/>
    <w:rsid w:val="00E43359"/>
    <w:rsid w:val="00E43BBA"/>
    <w:rsid w:val="00E446F1"/>
    <w:rsid w:val="00E46091"/>
    <w:rsid w:val="00E461C4"/>
    <w:rsid w:val="00E46886"/>
    <w:rsid w:val="00E46B1B"/>
    <w:rsid w:val="00E46B81"/>
    <w:rsid w:val="00E4773F"/>
    <w:rsid w:val="00E47AEF"/>
    <w:rsid w:val="00E50459"/>
    <w:rsid w:val="00E505DD"/>
    <w:rsid w:val="00E50DED"/>
    <w:rsid w:val="00E51480"/>
    <w:rsid w:val="00E518D7"/>
    <w:rsid w:val="00E51F25"/>
    <w:rsid w:val="00E523BF"/>
    <w:rsid w:val="00E52A55"/>
    <w:rsid w:val="00E536AB"/>
    <w:rsid w:val="00E53B15"/>
    <w:rsid w:val="00E53B75"/>
    <w:rsid w:val="00E54E3B"/>
    <w:rsid w:val="00E54F66"/>
    <w:rsid w:val="00E5509A"/>
    <w:rsid w:val="00E5541E"/>
    <w:rsid w:val="00E566F3"/>
    <w:rsid w:val="00E56E90"/>
    <w:rsid w:val="00E57565"/>
    <w:rsid w:val="00E57E64"/>
    <w:rsid w:val="00E60616"/>
    <w:rsid w:val="00E60CF1"/>
    <w:rsid w:val="00E61FED"/>
    <w:rsid w:val="00E625EE"/>
    <w:rsid w:val="00E6282E"/>
    <w:rsid w:val="00E62C10"/>
    <w:rsid w:val="00E62C11"/>
    <w:rsid w:val="00E62D09"/>
    <w:rsid w:val="00E62F1F"/>
    <w:rsid w:val="00E62F35"/>
    <w:rsid w:val="00E62FF0"/>
    <w:rsid w:val="00E6348C"/>
    <w:rsid w:val="00E6357D"/>
    <w:rsid w:val="00E63838"/>
    <w:rsid w:val="00E63B15"/>
    <w:rsid w:val="00E6425B"/>
    <w:rsid w:val="00E64434"/>
    <w:rsid w:val="00E64446"/>
    <w:rsid w:val="00E64570"/>
    <w:rsid w:val="00E653E0"/>
    <w:rsid w:val="00E65A64"/>
    <w:rsid w:val="00E66A19"/>
    <w:rsid w:val="00E67C51"/>
    <w:rsid w:val="00E70CF1"/>
    <w:rsid w:val="00E7120F"/>
    <w:rsid w:val="00E71C38"/>
    <w:rsid w:val="00E71DF6"/>
    <w:rsid w:val="00E72630"/>
    <w:rsid w:val="00E72A28"/>
    <w:rsid w:val="00E72B2A"/>
    <w:rsid w:val="00E72EFC"/>
    <w:rsid w:val="00E733C0"/>
    <w:rsid w:val="00E74C7B"/>
    <w:rsid w:val="00E75392"/>
    <w:rsid w:val="00E755B2"/>
    <w:rsid w:val="00E758EC"/>
    <w:rsid w:val="00E76259"/>
    <w:rsid w:val="00E76583"/>
    <w:rsid w:val="00E774DB"/>
    <w:rsid w:val="00E77DE5"/>
    <w:rsid w:val="00E8007A"/>
    <w:rsid w:val="00E81AA2"/>
    <w:rsid w:val="00E81D92"/>
    <w:rsid w:val="00E821D6"/>
    <w:rsid w:val="00E8233A"/>
    <w:rsid w:val="00E8234C"/>
    <w:rsid w:val="00E8248E"/>
    <w:rsid w:val="00E82F93"/>
    <w:rsid w:val="00E831C4"/>
    <w:rsid w:val="00E8385E"/>
    <w:rsid w:val="00E83AA9"/>
    <w:rsid w:val="00E83DD8"/>
    <w:rsid w:val="00E84AC6"/>
    <w:rsid w:val="00E84BC1"/>
    <w:rsid w:val="00E84E2A"/>
    <w:rsid w:val="00E85075"/>
    <w:rsid w:val="00E85928"/>
    <w:rsid w:val="00E860AE"/>
    <w:rsid w:val="00E862C2"/>
    <w:rsid w:val="00E86720"/>
    <w:rsid w:val="00E868C7"/>
    <w:rsid w:val="00E877B5"/>
    <w:rsid w:val="00E87822"/>
    <w:rsid w:val="00E902CE"/>
    <w:rsid w:val="00E90395"/>
    <w:rsid w:val="00E90783"/>
    <w:rsid w:val="00E90E49"/>
    <w:rsid w:val="00E90F28"/>
    <w:rsid w:val="00E91411"/>
    <w:rsid w:val="00E916DA"/>
    <w:rsid w:val="00E917F9"/>
    <w:rsid w:val="00E91E88"/>
    <w:rsid w:val="00E9291C"/>
    <w:rsid w:val="00E92DCB"/>
    <w:rsid w:val="00E93FFE"/>
    <w:rsid w:val="00E94A4B"/>
    <w:rsid w:val="00E94F8A"/>
    <w:rsid w:val="00E96A90"/>
    <w:rsid w:val="00E96F47"/>
    <w:rsid w:val="00E97406"/>
    <w:rsid w:val="00E97845"/>
    <w:rsid w:val="00E97A81"/>
    <w:rsid w:val="00E97C5B"/>
    <w:rsid w:val="00EA0A93"/>
    <w:rsid w:val="00EA0FB1"/>
    <w:rsid w:val="00EA145C"/>
    <w:rsid w:val="00EA172E"/>
    <w:rsid w:val="00EA1940"/>
    <w:rsid w:val="00EA33B1"/>
    <w:rsid w:val="00EA383B"/>
    <w:rsid w:val="00EA3D78"/>
    <w:rsid w:val="00EA4B49"/>
    <w:rsid w:val="00EA61C3"/>
    <w:rsid w:val="00EA62C3"/>
    <w:rsid w:val="00EA6AC5"/>
    <w:rsid w:val="00EA6AE5"/>
    <w:rsid w:val="00EA7A41"/>
    <w:rsid w:val="00EA7D81"/>
    <w:rsid w:val="00EB05A0"/>
    <w:rsid w:val="00EB077B"/>
    <w:rsid w:val="00EB15F6"/>
    <w:rsid w:val="00EB2129"/>
    <w:rsid w:val="00EB2190"/>
    <w:rsid w:val="00EB3308"/>
    <w:rsid w:val="00EB36F3"/>
    <w:rsid w:val="00EB38BB"/>
    <w:rsid w:val="00EB3CCA"/>
    <w:rsid w:val="00EB40A6"/>
    <w:rsid w:val="00EB46CC"/>
    <w:rsid w:val="00EB4840"/>
    <w:rsid w:val="00EB4EA2"/>
    <w:rsid w:val="00EB53CA"/>
    <w:rsid w:val="00EB54ED"/>
    <w:rsid w:val="00EB5636"/>
    <w:rsid w:val="00EB5A35"/>
    <w:rsid w:val="00EB5B16"/>
    <w:rsid w:val="00EB6312"/>
    <w:rsid w:val="00EB6346"/>
    <w:rsid w:val="00EB7AC8"/>
    <w:rsid w:val="00EB7F26"/>
    <w:rsid w:val="00EC1933"/>
    <w:rsid w:val="00EC1D06"/>
    <w:rsid w:val="00EC27C6"/>
    <w:rsid w:val="00EC353C"/>
    <w:rsid w:val="00EC3599"/>
    <w:rsid w:val="00EC4207"/>
    <w:rsid w:val="00EC5653"/>
    <w:rsid w:val="00EC5D1F"/>
    <w:rsid w:val="00EC5FF3"/>
    <w:rsid w:val="00EC60B5"/>
    <w:rsid w:val="00EC64B1"/>
    <w:rsid w:val="00EC69C9"/>
    <w:rsid w:val="00EC6A49"/>
    <w:rsid w:val="00EC6AD1"/>
    <w:rsid w:val="00EC6B68"/>
    <w:rsid w:val="00EC71CE"/>
    <w:rsid w:val="00EC75DD"/>
    <w:rsid w:val="00EC766B"/>
    <w:rsid w:val="00EC79BB"/>
    <w:rsid w:val="00ED0C47"/>
    <w:rsid w:val="00ED1006"/>
    <w:rsid w:val="00ED1AA4"/>
    <w:rsid w:val="00ED1DD3"/>
    <w:rsid w:val="00ED279B"/>
    <w:rsid w:val="00ED29F7"/>
    <w:rsid w:val="00ED31B0"/>
    <w:rsid w:val="00ED371B"/>
    <w:rsid w:val="00ED3912"/>
    <w:rsid w:val="00ED3F0F"/>
    <w:rsid w:val="00ED4F54"/>
    <w:rsid w:val="00ED4F9D"/>
    <w:rsid w:val="00ED5CAF"/>
    <w:rsid w:val="00ED6396"/>
    <w:rsid w:val="00ED6433"/>
    <w:rsid w:val="00ED67EE"/>
    <w:rsid w:val="00ED7766"/>
    <w:rsid w:val="00EE0A8F"/>
    <w:rsid w:val="00EE1309"/>
    <w:rsid w:val="00EE1E64"/>
    <w:rsid w:val="00EE1E92"/>
    <w:rsid w:val="00EE1EE2"/>
    <w:rsid w:val="00EE267E"/>
    <w:rsid w:val="00EE26A6"/>
    <w:rsid w:val="00EE34A9"/>
    <w:rsid w:val="00EE392C"/>
    <w:rsid w:val="00EE4026"/>
    <w:rsid w:val="00EE49D4"/>
    <w:rsid w:val="00EE4B5E"/>
    <w:rsid w:val="00EE4DF7"/>
    <w:rsid w:val="00EE4E1C"/>
    <w:rsid w:val="00EE7F85"/>
    <w:rsid w:val="00EF08AA"/>
    <w:rsid w:val="00EF18FE"/>
    <w:rsid w:val="00EF3908"/>
    <w:rsid w:val="00EF4BB5"/>
    <w:rsid w:val="00EF4DCB"/>
    <w:rsid w:val="00EF5787"/>
    <w:rsid w:val="00EF58ED"/>
    <w:rsid w:val="00EF60D0"/>
    <w:rsid w:val="00EF61A3"/>
    <w:rsid w:val="00EF682C"/>
    <w:rsid w:val="00EF7479"/>
    <w:rsid w:val="00EF7711"/>
    <w:rsid w:val="00EF78A7"/>
    <w:rsid w:val="00EF795A"/>
    <w:rsid w:val="00F01BDF"/>
    <w:rsid w:val="00F02009"/>
    <w:rsid w:val="00F02895"/>
    <w:rsid w:val="00F02D48"/>
    <w:rsid w:val="00F039A4"/>
    <w:rsid w:val="00F03EBC"/>
    <w:rsid w:val="00F04533"/>
    <w:rsid w:val="00F04ACB"/>
    <w:rsid w:val="00F051D6"/>
    <w:rsid w:val="00F0528D"/>
    <w:rsid w:val="00F05BF4"/>
    <w:rsid w:val="00F05DD5"/>
    <w:rsid w:val="00F06522"/>
    <w:rsid w:val="00F06C67"/>
    <w:rsid w:val="00F06DFD"/>
    <w:rsid w:val="00F071D1"/>
    <w:rsid w:val="00F07406"/>
    <w:rsid w:val="00F07533"/>
    <w:rsid w:val="00F105B0"/>
    <w:rsid w:val="00F10629"/>
    <w:rsid w:val="00F10BD5"/>
    <w:rsid w:val="00F11290"/>
    <w:rsid w:val="00F120AE"/>
    <w:rsid w:val="00F12539"/>
    <w:rsid w:val="00F12BD7"/>
    <w:rsid w:val="00F13B91"/>
    <w:rsid w:val="00F13D59"/>
    <w:rsid w:val="00F1423F"/>
    <w:rsid w:val="00F14E8F"/>
    <w:rsid w:val="00F15046"/>
    <w:rsid w:val="00F152E5"/>
    <w:rsid w:val="00F152FE"/>
    <w:rsid w:val="00F157B7"/>
    <w:rsid w:val="00F15FA5"/>
    <w:rsid w:val="00F164E9"/>
    <w:rsid w:val="00F1654E"/>
    <w:rsid w:val="00F16833"/>
    <w:rsid w:val="00F169F1"/>
    <w:rsid w:val="00F16A19"/>
    <w:rsid w:val="00F16DB1"/>
    <w:rsid w:val="00F171EE"/>
    <w:rsid w:val="00F17545"/>
    <w:rsid w:val="00F17A46"/>
    <w:rsid w:val="00F17C4B"/>
    <w:rsid w:val="00F209B7"/>
    <w:rsid w:val="00F215B2"/>
    <w:rsid w:val="00F219FA"/>
    <w:rsid w:val="00F22389"/>
    <w:rsid w:val="00F229A4"/>
    <w:rsid w:val="00F23500"/>
    <w:rsid w:val="00F2376F"/>
    <w:rsid w:val="00F2398F"/>
    <w:rsid w:val="00F24296"/>
    <w:rsid w:val="00F243D8"/>
    <w:rsid w:val="00F2463D"/>
    <w:rsid w:val="00F24962"/>
    <w:rsid w:val="00F25365"/>
    <w:rsid w:val="00F27087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A3E"/>
    <w:rsid w:val="00F324D9"/>
    <w:rsid w:val="00F329AC"/>
    <w:rsid w:val="00F33185"/>
    <w:rsid w:val="00F3337C"/>
    <w:rsid w:val="00F338DB"/>
    <w:rsid w:val="00F33906"/>
    <w:rsid w:val="00F33AB4"/>
    <w:rsid w:val="00F33C92"/>
    <w:rsid w:val="00F33D51"/>
    <w:rsid w:val="00F33F93"/>
    <w:rsid w:val="00F34438"/>
    <w:rsid w:val="00F35783"/>
    <w:rsid w:val="00F35FE9"/>
    <w:rsid w:val="00F36794"/>
    <w:rsid w:val="00F37AE8"/>
    <w:rsid w:val="00F37B0F"/>
    <w:rsid w:val="00F37F46"/>
    <w:rsid w:val="00F40ABA"/>
    <w:rsid w:val="00F40F0C"/>
    <w:rsid w:val="00F41518"/>
    <w:rsid w:val="00F41E63"/>
    <w:rsid w:val="00F42123"/>
    <w:rsid w:val="00F429C3"/>
    <w:rsid w:val="00F4364C"/>
    <w:rsid w:val="00F448D9"/>
    <w:rsid w:val="00F44955"/>
    <w:rsid w:val="00F452A8"/>
    <w:rsid w:val="00F45ED4"/>
    <w:rsid w:val="00F461B1"/>
    <w:rsid w:val="00F47596"/>
    <w:rsid w:val="00F4766C"/>
    <w:rsid w:val="00F47DD5"/>
    <w:rsid w:val="00F507D1"/>
    <w:rsid w:val="00F5098D"/>
    <w:rsid w:val="00F50A90"/>
    <w:rsid w:val="00F51175"/>
    <w:rsid w:val="00F516EF"/>
    <w:rsid w:val="00F519CE"/>
    <w:rsid w:val="00F51ADA"/>
    <w:rsid w:val="00F51EC2"/>
    <w:rsid w:val="00F525AD"/>
    <w:rsid w:val="00F53AF3"/>
    <w:rsid w:val="00F54D55"/>
    <w:rsid w:val="00F557A9"/>
    <w:rsid w:val="00F5591F"/>
    <w:rsid w:val="00F5625A"/>
    <w:rsid w:val="00F56B53"/>
    <w:rsid w:val="00F57120"/>
    <w:rsid w:val="00F57425"/>
    <w:rsid w:val="00F57AC3"/>
    <w:rsid w:val="00F607C5"/>
    <w:rsid w:val="00F609E2"/>
    <w:rsid w:val="00F60DEA"/>
    <w:rsid w:val="00F62254"/>
    <w:rsid w:val="00F62324"/>
    <w:rsid w:val="00F62537"/>
    <w:rsid w:val="00F6302A"/>
    <w:rsid w:val="00F63199"/>
    <w:rsid w:val="00F63267"/>
    <w:rsid w:val="00F634B4"/>
    <w:rsid w:val="00F640F6"/>
    <w:rsid w:val="00F64C2B"/>
    <w:rsid w:val="00F65080"/>
    <w:rsid w:val="00F651BE"/>
    <w:rsid w:val="00F65322"/>
    <w:rsid w:val="00F65586"/>
    <w:rsid w:val="00F65718"/>
    <w:rsid w:val="00F65BB0"/>
    <w:rsid w:val="00F66762"/>
    <w:rsid w:val="00F66F87"/>
    <w:rsid w:val="00F6703D"/>
    <w:rsid w:val="00F67155"/>
    <w:rsid w:val="00F67619"/>
    <w:rsid w:val="00F67748"/>
    <w:rsid w:val="00F67D30"/>
    <w:rsid w:val="00F67E02"/>
    <w:rsid w:val="00F67F53"/>
    <w:rsid w:val="00F70072"/>
    <w:rsid w:val="00F7020E"/>
    <w:rsid w:val="00F703BE"/>
    <w:rsid w:val="00F70F3C"/>
    <w:rsid w:val="00F71492"/>
    <w:rsid w:val="00F718DC"/>
    <w:rsid w:val="00F71F69"/>
    <w:rsid w:val="00F72052"/>
    <w:rsid w:val="00F72322"/>
    <w:rsid w:val="00F72B72"/>
    <w:rsid w:val="00F73345"/>
    <w:rsid w:val="00F738FB"/>
    <w:rsid w:val="00F73A00"/>
    <w:rsid w:val="00F73C95"/>
    <w:rsid w:val="00F7498D"/>
    <w:rsid w:val="00F74BB9"/>
    <w:rsid w:val="00F754D7"/>
    <w:rsid w:val="00F75582"/>
    <w:rsid w:val="00F7565A"/>
    <w:rsid w:val="00F75A7F"/>
    <w:rsid w:val="00F75BD8"/>
    <w:rsid w:val="00F76EFA"/>
    <w:rsid w:val="00F76EFB"/>
    <w:rsid w:val="00F77410"/>
    <w:rsid w:val="00F77A0B"/>
    <w:rsid w:val="00F8015A"/>
    <w:rsid w:val="00F804BE"/>
    <w:rsid w:val="00F80850"/>
    <w:rsid w:val="00F8098C"/>
    <w:rsid w:val="00F80B50"/>
    <w:rsid w:val="00F80F50"/>
    <w:rsid w:val="00F8100B"/>
    <w:rsid w:val="00F817CE"/>
    <w:rsid w:val="00F81D16"/>
    <w:rsid w:val="00F82079"/>
    <w:rsid w:val="00F82200"/>
    <w:rsid w:val="00F82848"/>
    <w:rsid w:val="00F828D8"/>
    <w:rsid w:val="00F8312C"/>
    <w:rsid w:val="00F83510"/>
    <w:rsid w:val="00F840CC"/>
    <w:rsid w:val="00F8452F"/>
    <w:rsid w:val="00F8456C"/>
    <w:rsid w:val="00F8502F"/>
    <w:rsid w:val="00F85133"/>
    <w:rsid w:val="00F859D8"/>
    <w:rsid w:val="00F85FC2"/>
    <w:rsid w:val="00F868F5"/>
    <w:rsid w:val="00F87523"/>
    <w:rsid w:val="00F9056A"/>
    <w:rsid w:val="00F90F8D"/>
    <w:rsid w:val="00F90F95"/>
    <w:rsid w:val="00F91783"/>
    <w:rsid w:val="00F91998"/>
    <w:rsid w:val="00F91BA1"/>
    <w:rsid w:val="00F91CF1"/>
    <w:rsid w:val="00F9242E"/>
    <w:rsid w:val="00F92782"/>
    <w:rsid w:val="00F938A2"/>
    <w:rsid w:val="00F93915"/>
    <w:rsid w:val="00F93AA9"/>
    <w:rsid w:val="00F94265"/>
    <w:rsid w:val="00F94511"/>
    <w:rsid w:val="00F94B97"/>
    <w:rsid w:val="00F95071"/>
    <w:rsid w:val="00F9552D"/>
    <w:rsid w:val="00F95537"/>
    <w:rsid w:val="00F95761"/>
    <w:rsid w:val="00F96966"/>
    <w:rsid w:val="00F96985"/>
    <w:rsid w:val="00F97838"/>
    <w:rsid w:val="00F97C4E"/>
    <w:rsid w:val="00FA08CF"/>
    <w:rsid w:val="00FA0908"/>
    <w:rsid w:val="00FA1077"/>
    <w:rsid w:val="00FA11E1"/>
    <w:rsid w:val="00FA12D2"/>
    <w:rsid w:val="00FA1ADA"/>
    <w:rsid w:val="00FA2BB3"/>
    <w:rsid w:val="00FA2DF3"/>
    <w:rsid w:val="00FA3142"/>
    <w:rsid w:val="00FA31FB"/>
    <w:rsid w:val="00FA423A"/>
    <w:rsid w:val="00FA5319"/>
    <w:rsid w:val="00FA6329"/>
    <w:rsid w:val="00FA6B32"/>
    <w:rsid w:val="00FA704A"/>
    <w:rsid w:val="00FB0F8B"/>
    <w:rsid w:val="00FB19A1"/>
    <w:rsid w:val="00FB234A"/>
    <w:rsid w:val="00FB2FCD"/>
    <w:rsid w:val="00FB342B"/>
    <w:rsid w:val="00FB455B"/>
    <w:rsid w:val="00FB46B7"/>
    <w:rsid w:val="00FB4C80"/>
    <w:rsid w:val="00FB5540"/>
    <w:rsid w:val="00FB5657"/>
    <w:rsid w:val="00FB6066"/>
    <w:rsid w:val="00FB624B"/>
    <w:rsid w:val="00FB6327"/>
    <w:rsid w:val="00FB65DA"/>
    <w:rsid w:val="00FB69CA"/>
    <w:rsid w:val="00FB6A6A"/>
    <w:rsid w:val="00FB6E66"/>
    <w:rsid w:val="00FB6F61"/>
    <w:rsid w:val="00FB773D"/>
    <w:rsid w:val="00FC05EC"/>
    <w:rsid w:val="00FC0873"/>
    <w:rsid w:val="00FC129A"/>
    <w:rsid w:val="00FC160B"/>
    <w:rsid w:val="00FC183A"/>
    <w:rsid w:val="00FC1E6F"/>
    <w:rsid w:val="00FC29F5"/>
    <w:rsid w:val="00FC35B7"/>
    <w:rsid w:val="00FC3CD5"/>
    <w:rsid w:val="00FC3FCB"/>
    <w:rsid w:val="00FC4AD0"/>
    <w:rsid w:val="00FC5B9C"/>
    <w:rsid w:val="00FC6483"/>
    <w:rsid w:val="00FC6640"/>
    <w:rsid w:val="00FC6982"/>
    <w:rsid w:val="00FC6C06"/>
    <w:rsid w:val="00FC7313"/>
    <w:rsid w:val="00FC7429"/>
    <w:rsid w:val="00FC7B90"/>
    <w:rsid w:val="00FD008D"/>
    <w:rsid w:val="00FD055A"/>
    <w:rsid w:val="00FD075F"/>
    <w:rsid w:val="00FD07F6"/>
    <w:rsid w:val="00FD0F96"/>
    <w:rsid w:val="00FD1963"/>
    <w:rsid w:val="00FD1EC8"/>
    <w:rsid w:val="00FD2562"/>
    <w:rsid w:val="00FD3445"/>
    <w:rsid w:val="00FD37F6"/>
    <w:rsid w:val="00FD3FB3"/>
    <w:rsid w:val="00FD449E"/>
    <w:rsid w:val="00FD47A3"/>
    <w:rsid w:val="00FD47ED"/>
    <w:rsid w:val="00FD5F15"/>
    <w:rsid w:val="00FD6650"/>
    <w:rsid w:val="00FD6F04"/>
    <w:rsid w:val="00FD74DB"/>
    <w:rsid w:val="00FD7660"/>
    <w:rsid w:val="00FD79D2"/>
    <w:rsid w:val="00FE02C9"/>
    <w:rsid w:val="00FE0655"/>
    <w:rsid w:val="00FE17E2"/>
    <w:rsid w:val="00FE1E40"/>
    <w:rsid w:val="00FE20E2"/>
    <w:rsid w:val="00FE2365"/>
    <w:rsid w:val="00FE26A4"/>
    <w:rsid w:val="00FE4009"/>
    <w:rsid w:val="00FE45FC"/>
    <w:rsid w:val="00FE4659"/>
    <w:rsid w:val="00FE483B"/>
    <w:rsid w:val="00FE4B0E"/>
    <w:rsid w:val="00FE4C7B"/>
    <w:rsid w:val="00FE4CAF"/>
    <w:rsid w:val="00FE4F3B"/>
    <w:rsid w:val="00FE5670"/>
    <w:rsid w:val="00FE5BEE"/>
    <w:rsid w:val="00FE5E76"/>
    <w:rsid w:val="00FE7078"/>
    <w:rsid w:val="00FE7336"/>
    <w:rsid w:val="00FE7535"/>
    <w:rsid w:val="00FE787C"/>
    <w:rsid w:val="00FF0B02"/>
    <w:rsid w:val="00FF2F21"/>
    <w:rsid w:val="00FF45A5"/>
    <w:rsid w:val="00FF49A7"/>
    <w:rsid w:val="00FF5C91"/>
    <w:rsid w:val="00FF606A"/>
    <w:rsid w:val="00FF62AE"/>
    <w:rsid w:val="00FF6AB8"/>
    <w:rsid w:val="00FF6E8B"/>
    <w:rsid w:val="044FCEBB"/>
    <w:rsid w:val="0496F0B9"/>
    <w:rsid w:val="0607814E"/>
    <w:rsid w:val="06D8B70F"/>
    <w:rsid w:val="07876F7D"/>
    <w:rsid w:val="09439610"/>
    <w:rsid w:val="0A21EB72"/>
    <w:rsid w:val="0FA0C7DC"/>
    <w:rsid w:val="11FEF9AE"/>
    <w:rsid w:val="120C6BF9"/>
    <w:rsid w:val="130897E6"/>
    <w:rsid w:val="13BDE517"/>
    <w:rsid w:val="190F694A"/>
    <w:rsid w:val="1A1165EB"/>
    <w:rsid w:val="1A2440A0"/>
    <w:rsid w:val="1EF1F735"/>
    <w:rsid w:val="209C681F"/>
    <w:rsid w:val="210E95FE"/>
    <w:rsid w:val="23E67CDA"/>
    <w:rsid w:val="24CB478D"/>
    <w:rsid w:val="2565B615"/>
    <w:rsid w:val="261E4E13"/>
    <w:rsid w:val="2842F72C"/>
    <w:rsid w:val="28EA70FE"/>
    <w:rsid w:val="295A2ECD"/>
    <w:rsid w:val="2995EABA"/>
    <w:rsid w:val="2A2A2208"/>
    <w:rsid w:val="2CA3E6FE"/>
    <w:rsid w:val="2F17631C"/>
    <w:rsid w:val="3045607F"/>
    <w:rsid w:val="330BD6E3"/>
    <w:rsid w:val="348FB4FB"/>
    <w:rsid w:val="3648F031"/>
    <w:rsid w:val="3894BB86"/>
    <w:rsid w:val="38AC62F7"/>
    <w:rsid w:val="38E0E85D"/>
    <w:rsid w:val="3A4AED2D"/>
    <w:rsid w:val="3A8AEDB0"/>
    <w:rsid w:val="3AF7E4AF"/>
    <w:rsid w:val="3E3288E3"/>
    <w:rsid w:val="4076DEA3"/>
    <w:rsid w:val="44D26AB2"/>
    <w:rsid w:val="45FD0716"/>
    <w:rsid w:val="471047D8"/>
    <w:rsid w:val="47A652A0"/>
    <w:rsid w:val="49E44355"/>
    <w:rsid w:val="4A243A03"/>
    <w:rsid w:val="4AA4D8F6"/>
    <w:rsid w:val="4B16A57A"/>
    <w:rsid w:val="4BD25E9D"/>
    <w:rsid w:val="4BDB776C"/>
    <w:rsid w:val="4C24C725"/>
    <w:rsid w:val="4F5C67E7"/>
    <w:rsid w:val="50269420"/>
    <w:rsid w:val="50B72A1E"/>
    <w:rsid w:val="50CFB5E6"/>
    <w:rsid w:val="514DB817"/>
    <w:rsid w:val="51CE5AC6"/>
    <w:rsid w:val="54DFD3FE"/>
    <w:rsid w:val="557CFF89"/>
    <w:rsid w:val="58456E61"/>
    <w:rsid w:val="58CA2989"/>
    <w:rsid w:val="59A39314"/>
    <w:rsid w:val="5D9D9AAC"/>
    <w:rsid w:val="5F97A740"/>
    <w:rsid w:val="600E24A0"/>
    <w:rsid w:val="67D1ACCF"/>
    <w:rsid w:val="68244409"/>
    <w:rsid w:val="685CFE84"/>
    <w:rsid w:val="685F9634"/>
    <w:rsid w:val="6C2F6603"/>
    <w:rsid w:val="6CCAFB48"/>
    <w:rsid w:val="6DBD1123"/>
    <w:rsid w:val="6DC3FCD2"/>
    <w:rsid w:val="6EA78169"/>
    <w:rsid w:val="71EB1E0F"/>
    <w:rsid w:val="74F170D1"/>
    <w:rsid w:val="751E89E2"/>
    <w:rsid w:val="778288F5"/>
    <w:rsid w:val="78B9D412"/>
    <w:rsid w:val="78D20E92"/>
    <w:rsid w:val="799055F3"/>
    <w:rsid w:val="7A414D06"/>
    <w:rsid w:val="7B00EE24"/>
    <w:rsid w:val="7CCED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148B9B"/>
  <w15:docId w15:val="{E49B38D3-C454-44C1-A951-64D30C8FE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7"/>
      </w:numPr>
    </w:pPr>
  </w:style>
  <w:style w:type="paragraph" w:styleId="ListBullet">
    <w:name w:val="List Bullet"/>
    <w:basedOn w:val="BodyText"/>
    <w:rsid w:val="00317B01"/>
    <w:pPr>
      <w:numPr>
        <w:numId w:val="6"/>
      </w:numPr>
    </w:pPr>
  </w:style>
  <w:style w:type="paragraph" w:styleId="ListBullet3">
    <w:name w:val="List Bullet 3"/>
    <w:basedOn w:val="ListBullet2"/>
    <w:rsid w:val="00317B01"/>
    <w:pPr>
      <w:numPr>
        <w:numId w:val="8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9"/>
      </w:numPr>
    </w:pPr>
  </w:style>
  <w:style w:type="paragraph" w:styleId="ListBullet5">
    <w:name w:val="List Bullet 5"/>
    <w:basedOn w:val="ListBullet4"/>
    <w:rsid w:val="00317B01"/>
    <w:pPr>
      <w:numPr>
        <w:numId w:val="5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317B01"/>
    <w:pPr>
      <w:numPr>
        <w:numId w:val="3"/>
      </w:numPr>
    </w:pPr>
  </w:style>
  <w:style w:type="paragraph" w:styleId="BalloonText">
    <w:name w:val="Balloon Text"/>
    <w:basedOn w:val="Normal"/>
    <w:link w:val="BalloonTextChar"/>
    <w:qFormat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0"/>
      </w:numPr>
      <w:ind w:left="1701" w:hanging="1701"/>
    </w:pPr>
  </w:style>
  <w:style w:type="paragraph" w:styleId="TableofFigures">
    <w:name w:val="table of figures"/>
    <w:basedOn w:val="Normal"/>
    <w:next w:val="Normal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,목록 단락,リスト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uiPriority w:val="59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1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宋体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宋体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宋体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宋体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宋体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宋体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宋体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宋体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宋体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宋体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宋体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,リスト Char"/>
    <w:link w:val="ListParagraph"/>
    <w:uiPriority w:val="34"/>
    <w:qFormat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宋体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uiPriority w:val="9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宋体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宋体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宋体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eastAsia="宋体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2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宋体" w:hAnsi="Times New Roman" w:cs="宋体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3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4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宋体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宋体" w:hAnsi="Times New Roman" w:cs="宋体"/>
      <w:lang w:eastAsia="en-GB"/>
    </w:rPr>
  </w:style>
  <w:style w:type="paragraph" w:customStyle="1" w:styleId="Agreement">
    <w:name w:val="Agreement"/>
    <w:basedOn w:val="Normal"/>
    <w:next w:val="Doc-text2"/>
    <w:qFormat/>
    <w:rsid w:val="00E271B8"/>
    <w:pPr>
      <w:numPr>
        <w:numId w:val="16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7"/>
      </w:numPr>
    </w:pPr>
  </w:style>
  <w:style w:type="numbering" w:styleId="1ai">
    <w:name w:val="Outline List 1"/>
    <w:basedOn w:val="NoList"/>
    <w:unhideWhenUsed/>
    <w:rsid w:val="00E271B8"/>
    <w:pPr>
      <w:numPr>
        <w:numId w:val="18"/>
      </w:numPr>
    </w:pPr>
  </w:style>
  <w:style w:type="numbering" w:styleId="111111">
    <w:name w:val="Outline List 2"/>
    <w:basedOn w:val="NoList"/>
    <w:unhideWhenUsed/>
    <w:rsid w:val="00E271B8"/>
    <w:pPr>
      <w:numPr>
        <w:numId w:val="19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20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qFormat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461B0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604D5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宋体" w:hAnsi="Times New Roman"/>
      <w:color w:val="FF000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A69D7"/>
    <w:rPr>
      <w:rFonts w:ascii="Arial" w:hAnsi="Arial"/>
      <w:b/>
      <w:bCs/>
      <w:lang w:val="en-GB"/>
    </w:rPr>
  </w:style>
  <w:style w:type="character" w:customStyle="1" w:styleId="ReviewTextChar">
    <w:name w:val="ReviewText Char"/>
    <w:link w:val="ReviewText"/>
    <w:qFormat/>
    <w:rsid w:val="00E46B1B"/>
    <w:rPr>
      <w:rFonts w:ascii="Calibri Light" w:eastAsia="Malgun Gothic" w:hAnsi="Calibri Light"/>
    </w:rPr>
  </w:style>
  <w:style w:type="paragraph" w:customStyle="1" w:styleId="ReviewText">
    <w:name w:val="ReviewText"/>
    <w:basedOn w:val="Normal"/>
    <w:link w:val="ReviewTextChar"/>
    <w:qFormat/>
    <w:rsid w:val="00E46B1B"/>
    <w:pPr>
      <w:spacing w:after="80"/>
      <w:ind w:left="567"/>
      <w:jc w:val="left"/>
    </w:pPr>
    <w:rPr>
      <w:rFonts w:ascii="Calibri Light" w:eastAsia="Malgun Gothic" w:hAnsi="Calibri Light"/>
      <w:lang w:val="en-US"/>
    </w:rPr>
  </w:style>
  <w:style w:type="character" w:styleId="Strong">
    <w:name w:val="Strong"/>
    <w:qFormat/>
    <w:rsid w:val="00011CA9"/>
    <w:rPr>
      <w:b/>
      <w:bCs/>
    </w:rPr>
  </w:style>
  <w:style w:type="paragraph" w:customStyle="1" w:styleId="ListParagraph2">
    <w:name w:val="List Paragraph2"/>
    <w:basedOn w:val="Normal"/>
    <w:rsid w:val="00011CA9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宋体" w:hAnsi="Times New Roman"/>
      <w:sz w:val="24"/>
      <w:szCs w:val="24"/>
      <w:lang w:val="en-US"/>
    </w:rPr>
  </w:style>
  <w:style w:type="character" w:customStyle="1" w:styleId="ProposalChar">
    <w:name w:val="Proposal Char"/>
    <w:link w:val="Proposal"/>
    <w:rsid w:val="00011CA9"/>
    <w:rPr>
      <w:rFonts w:ascii="Arial" w:hAnsi="Arial"/>
      <w:b/>
      <w:bCs/>
      <w:lang w:val="en-GB"/>
    </w:rPr>
  </w:style>
  <w:style w:type="paragraph" w:customStyle="1" w:styleId="ColorfulList-Accent11">
    <w:name w:val="Colorful List - Accent 11"/>
    <w:basedOn w:val="Normal"/>
    <w:qFormat/>
    <w:rsid w:val="00011CA9"/>
    <w:pPr>
      <w:spacing w:after="180"/>
      <w:ind w:left="720"/>
      <w:contextualSpacing/>
      <w:jc w:val="left"/>
    </w:pPr>
    <w:rPr>
      <w:rFonts w:ascii="楷体_GB2312" w:eastAsia="MS UI Gothic" w:hAnsi="楷体_GB2312" w:cs="楷体_GB2312"/>
      <w:lang w:val="en-US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11CA9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ascii="DotumChe" w:eastAsia="黑体" w:hAnsi="DotumChe" w:cs="楷体_GB2312"/>
      <w:szCs w:val="24"/>
      <w:lang w:eastAsia="en-GB"/>
    </w:rPr>
  </w:style>
  <w:style w:type="character" w:customStyle="1" w:styleId="Doc-titleChar">
    <w:name w:val="Doc-title Char"/>
    <w:link w:val="Doc-title"/>
    <w:rsid w:val="00011CA9"/>
    <w:rPr>
      <w:rFonts w:ascii="DotumChe" w:eastAsia="黑体" w:hAnsi="DotumChe" w:cs="楷体_GB2312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11CA9"/>
    <w:pPr>
      <w:overflowPunct/>
      <w:autoSpaceDE/>
      <w:autoSpaceDN/>
      <w:adjustRightInd/>
      <w:spacing w:before="40" w:after="0"/>
      <w:jc w:val="left"/>
      <w:textAlignment w:val="auto"/>
    </w:pPr>
    <w:rPr>
      <w:rFonts w:ascii="DotumChe" w:eastAsia="黑体" w:hAnsi="DotumChe" w:cs="楷体_GB2312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011CA9"/>
    <w:rPr>
      <w:rFonts w:ascii="DotumChe" w:eastAsia="黑体" w:hAnsi="DotumChe" w:cs="楷体_GB2312"/>
      <w:i/>
      <w:noProof/>
      <w:sz w:val="18"/>
      <w:szCs w:val="24"/>
      <w:lang w:val="en-GB" w:eastAsia="en-GB"/>
    </w:rPr>
  </w:style>
  <w:style w:type="character" w:customStyle="1" w:styleId="call-text1">
    <w:name w:val="call-text1"/>
    <w:basedOn w:val="DefaultParagraphFont"/>
    <w:rsid w:val="00011CA9"/>
  </w:style>
  <w:style w:type="character" w:customStyle="1" w:styleId="call-text-time1">
    <w:name w:val="call-text-time1"/>
    <w:rsid w:val="00011CA9"/>
    <w:rPr>
      <w:color w:val="717172"/>
    </w:rPr>
  </w:style>
  <w:style w:type="paragraph" w:customStyle="1" w:styleId="references">
    <w:name w:val="references"/>
    <w:rsid w:val="00011CA9"/>
    <w:pPr>
      <w:numPr>
        <w:numId w:val="22"/>
      </w:numPr>
      <w:spacing w:after="50" w:line="180" w:lineRule="exact"/>
      <w:jc w:val="both"/>
    </w:pPr>
    <w:rPr>
      <w:rFonts w:ascii="楷体_GB2312" w:eastAsia="黑体" w:hAnsi="楷体_GB2312" w:cs="楷体_GB2312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011CA9"/>
    <w:pPr>
      <w:numPr>
        <w:numId w:val="23"/>
      </w:numPr>
    </w:pPr>
  </w:style>
  <w:style w:type="paragraph" w:customStyle="1" w:styleId="maintext">
    <w:name w:val="main text"/>
    <w:basedOn w:val="Normal"/>
    <w:link w:val="maintextChar"/>
    <w:qFormat/>
    <w:rsid w:val="00011CA9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楷体_GB2312" w:eastAsia="minorBidi" w:hAnsi="楷体_GB2312" w:cs="DotumChe"/>
      <w:lang w:eastAsia="ko-KR"/>
    </w:rPr>
  </w:style>
  <w:style w:type="character" w:customStyle="1" w:styleId="maintextChar">
    <w:name w:val="main text Char"/>
    <w:link w:val="maintext"/>
    <w:qFormat/>
    <w:rsid w:val="00011CA9"/>
    <w:rPr>
      <w:rFonts w:ascii="楷体_GB2312" w:eastAsia="minorBidi" w:hAnsi="楷体_GB2312" w:cs="DotumChe"/>
      <w:lang w:val="en-GB" w:eastAsia="ko-KR"/>
    </w:rPr>
  </w:style>
  <w:style w:type="paragraph" w:customStyle="1" w:styleId="TALLeft0">
    <w:name w:val="TAL + Left:  0"/>
    <w:aliases w:val="25 cm,19 cm,4 cm"/>
    <w:basedOn w:val="TAL"/>
    <w:rsid w:val="00011CA9"/>
    <w:pPr>
      <w:spacing w:line="0" w:lineRule="atLeast"/>
      <w:ind w:left="142"/>
    </w:pPr>
    <w:rPr>
      <w:rFonts w:ascii="DotumChe" w:eastAsia="MS UI Gothic" w:hAnsi="DotumChe" w:cs="楷体_GB2312"/>
      <w:lang w:eastAsia="en-GB"/>
    </w:rPr>
  </w:style>
  <w:style w:type="paragraph" w:customStyle="1" w:styleId="TALLeft050cm">
    <w:name w:val="TAL + Left:  050 cm"/>
    <w:basedOn w:val="TAL"/>
    <w:rsid w:val="00011CA9"/>
    <w:pPr>
      <w:spacing w:line="0" w:lineRule="atLeast"/>
      <w:ind w:left="284"/>
    </w:pPr>
    <w:rPr>
      <w:rFonts w:ascii="DotumChe" w:eastAsia="MS UI Gothic" w:hAnsi="DotumChe" w:cs="楷体_GB2312"/>
      <w:lang w:eastAsia="en-GB"/>
    </w:rPr>
  </w:style>
  <w:style w:type="paragraph" w:customStyle="1" w:styleId="TALLeft00">
    <w:name w:val="TAL + Left: 0"/>
    <w:aliases w:val="75 cm"/>
    <w:basedOn w:val="TALLeft050cm"/>
    <w:rsid w:val="00011CA9"/>
    <w:pPr>
      <w:ind w:left="425"/>
    </w:pPr>
  </w:style>
  <w:style w:type="paragraph" w:customStyle="1" w:styleId="TALLeft02cm">
    <w:name w:val="TAL + Left: 0.2 cm"/>
    <w:basedOn w:val="TAL"/>
    <w:qFormat/>
    <w:rsid w:val="00011CA9"/>
    <w:pPr>
      <w:overflowPunct/>
      <w:autoSpaceDE/>
      <w:autoSpaceDN/>
      <w:adjustRightInd/>
      <w:ind w:left="113"/>
      <w:textAlignment w:val="auto"/>
    </w:pPr>
    <w:rPr>
      <w:rFonts w:ascii="DotumChe" w:eastAsia="MS UI Gothic" w:hAnsi="DotumChe" w:cs="楷体_GB2312"/>
      <w:bCs/>
      <w:noProof/>
    </w:rPr>
  </w:style>
  <w:style w:type="paragraph" w:customStyle="1" w:styleId="TALLeft04cm">
    <w:name w:val="TAL + Left: 0.4 cm"/>
    <w:basedOn w:val="TALLeft02cm"/>
    <w:qFormat/>
    <w:rsid w:val="00011CA9"/>
    <w:pPr>
      <w:ind w:left="227"/>
    </w:pPr>
  </w:style>
  <w:style w:type="paragraph" w:customStyle="1" w:styleId="TALLeft06cm">
    <w:name w:val="TAL + Left: 0.6 cm"/>
    <w:basedOn w:val="TALLeft04cm"/>
    <w:qFormat/>
    <w:rsid w:val="00011CA9"/>
    <w:pPr>
      <w:ind w:left="340"/>
    </w:pPr>
  </w:style>
  <w:style w:type="character" w:customStyle="1" w:styleId="3GPPHeaderChar">
    <w:name w:val="3GPP_Header Char"/>
    <w:link w:val="3GPPHeader"/>
    <w:rsid w:val="00011CA9"/>
    <w:rPr>
      <w:rFonts w:ascii="Arial" w:hAnsi="Arial"/>
      <w:b/>
      <w:sz w:val="24"/>
      <w:lang w:val="en-GB"/>
    </w:rPr>
  </w:style>
  <w:style w:type="paragraph" w:customStyle="1" w:styleId="TAJ">
    <w:name w:val="TAJ"/>
    <w:basedOn w:val="TH"/>
    <w:rsid w:val="00011CA9"/>
    <w:rPr>
      <w:rFonts w:eastAsia="宋体"/>
      <w:lang w:eastAsia="ko-KR"/>
    </w:rPr>
  </w:style>
  <w:style w:type="character" w:customStyle="1" w:styleId="Mention1">
    <w:name w:val="Mention1"/>
    <w:uiPriority w:val="99"/>
    <w:semiHidden/>
    <w:unhideWhenUsed/>
    <w:rsid w:val="00011CA9"/>
    <w:rPr>
      <w:color w:val="2B579A"/>
      <w:shd w:val="clear" w:color="auto" w:fill="E6E6E6"/>
    </w:rPr>
  </w:style>
  <w:style w:type="paragraph" w:customStyle="1" w:styleId="Head6">
    <w:name w:val="Head 6"/>
    <w:basedOn w:val="Normal"/>
    <w:next w:val="Normal"/>
    <w:rsid w:val="00011CA9"/>
    <w:pPr>
      <w:spacing w:before="120" w:after="180"/>
      <w:ind w:left="1985" w:hanging="1985"/>
      <w:jc w:val="left"/>
    </w:pPr>
    <w:rPr>
      <w:rFonts w:eastAsia="宋体"/>
      <w:lang w:eastAsia="en-US"/>
    </w:rPr>
  </w:style>
  <w:style w:type="character" w:customStyle="1" w:styleId="TALLeft100cmCharChar0">
    <w:name w:val="TAL + Left:  1;00 cm Char Char"/>
    <w:rsid w:val="00011CA9"/>
    <w:rPr>
      <w:rFonts w:ascii="Arial" w:hAnsi="Arial" w:cs="Arial"/>
      <w:sz w:val="18"/>
      <w:szCs w:val="18"/>
      <w:lang w:val="en-GB" w:eastAsia="ko-KR"/>
    </w:rPr>
  </w:style>
  <w:style w:type="paragraph" w:customStyle="1" w:styleId="a2">
    <w:name w:val="a"/>
    <w:basedOn w:val="CRCoverPage"/>
    <w:rsid w:val="00011CA9"/>
    <w:pPr>
      <w:tabs>
        <w:tab w:val="left" w:pos="1985"/>
      </w:tabs>
    </w:pPr>
    <w:rPr>
      <w:rFonts w:eastAsia="宋体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011CA9"/>
    <w:pPr>
      <w:keepNext w:val="0"/>
      <w:spacing w:before="0" w:after="240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011CA9"/>
    <w:rPr>
      <w:rFonts w:ascii="Arial" w:eastAsia="宋体" w:hAnsi="Arial"/>
      <w:b/>
      <w:lang w:val="en-GB" w:eastAsia="ko-KR"/>
    </w:rPr>
  </w:style>
  <w:style w:type="character" w:customStyle="1" w:styleId="normaltextrun">
    <w:name w:val="normaltextrun"/>
    <w:basedOn w:val="DefaultParagraphFont"/>
    <w:rsid w:val="00957DC0"/>
  </w:style>
  <w:style w:type="paragraph" w:customStyle="1" w:styleId="paragraph">
    <w:name w:val="paragraph"/>
    <w:basedOn w:val="Normal"/>
    <w:rsid w:val="00407B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hAnsi="Calibri" w:cs="Calibri"/>
      <w:sz w:val="22"/>
      <w:szCs w:val="22"/>
      <w:lang w:val="en-US"/>
    </w:rPr>
  </w:style>
  <w:style w:type="character" w:customStyle="1" w:styleId="eop">
    <w:name w:val="eop"/>
    <w:basedOn w:val="DefaultParagraphFont"/>
    <w:rsid w:val="00407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5AIRPNAIUNRU-1156379521-3255</_dlc_DocId>
    <_dlc_DocIdUrl xmlns="71c5aaf6-e6ce-465b-b873-5148d2a4c105">
      <Url>https://nokia.sharepoint.com/sites/c5g/e2earch/_layouts/15/DocIdRedir.aspx?ID=5AIRPNAIUNRU-1156379521-3255</Url>
      <Description>5AIRPNAIUNRU-1156379521-3255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477657E-3382-48B2-9C03-82ACD94F72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9D0E45-A718-4A11-9784-1418767AE9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2B5B94-5845-4BEF-A5DB-169830AB4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72A21EA-06A6-4DC3-B595-BF950D85E1E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R2-16xxxx%20-%20Contribution%20Template.dot</Template>
  <TotalTime>146</TotalTime>
  <Pages>5</Pages>
  <Words>1814</Words>
  <Characters>10343</Characters>
  <Application>Microsoft Office Word</Application>
  <DocSecurity>0</DocSecurity>
  <Lines>86</Lines>
  <Paragraphs>24</Paragraphs>
  <ScaleCrop>false</ScaleCrop>
  <Company>Ericsson</Company>
  <LinksUpToDate>false</LinksUpToDate>
  <CharactersWithSpaces>12133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Steven Xu</cp:lastModifiedBy>
  <cp:revision>373</cp:revision>
  <cp:lastPrinted>2021-10-20T14:07:00Z</cp:lastPrinted>
  <dcterms:created xsi:type="dcterms:W3CDTF">2022-08-03T16:46:00Z</dcterms:created>
  <dcterms:modified xsi:type="dcterms:W3CDTF">2022-11-04T03:00:00Z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0x010100518683DDB4CB714487F91A3B9BBBA0AA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78b27091-fa41-4e4c-9a1f-0a17abf1c89c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